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1E4BDF67" w:rsidR="00E90E49" w:rsidRPr="00893D97" w:rsidRDefault="00E90E49" w:rsidP="00E35559">
      <w:pPr>
        <w:pStyle w:val="3GPPHeader"/>
        <w:spacing w:after="60"/>
        <w:rPr>
          <w:sz w:val="32"/>
          <w:szCs w:val="32"/>
          <w:highlight w:val="yellow"/>
        </w:rPr>
      </w:pPr>
      <w:r w:rsidRPr="00893D97">
        <w:t>3GPP TSG-RAN WG</w:t>
      </w:r>
      <w:r w:rsidR="008F1C4E" w:rsidRPr="00893D97">
        <w:t>1</w:t>
      </w:r>
      <w:r w:rsidRPr="00893D97">
        <w:t xml:space="preserve"> </w:t>
      </w:r>
      <w:r w:rsidR="008F1C4E" w:rsidRPr="00893D97">
        <w:t xml:space="preserve">Meeting </w:t>
      </w:r>
      <w:r w:rsidRPr="00893D97">
        <w:t>#</w:t>
      </w:r>
      <w:r w:rsidR="00CE0BF7" w:rsidRPr="00893D97">
        <w:t>9</w:t>
      </w:r>
      <w:r w:rsidR="00E4534D">
        <w:t>8</w:t>
      </w:r>
      <w:r w:rsidRPr="00893D97">
        <w:tab/>
      </w:r>
      <w:bookmarkStart w:id="0" w:name="_GoBack"/>
      <w:r w:rsidR="00660E04" w:rsidRPr="00660E04">
        <w:t>R1-1909111</w:t>
      </w:r>
      <w:bookmarkEnd w:id="0"/>
      <w:r w:rsidR="00660E04" w:rsidRPr="00660E04" w:rsidDel="00660E04">
        <w:t xml:space="preserve"> </w:t>
      </w:r>
    </w:p>
    <w:p w14:paraId="2CA5925B" w14:textId="77777777" w:rsidR="000A0DFE" w:rsidRPr="001F764B" w:rsidRDefault="000A0DFE" w:rsidP="000A0DFE">
      <w:pPr>
        <w:pStyle w:val="3GPPHeader"/>
      </w:pPr>
      <w:r>
        <w:t>Prague</w:t>
      </w:r>
      <w:r w:rsidRPr="0052454F">
        <w:t xml:space="preserve">, </w:t>
      </w:r>
      <w:r w:rsidRPr="00AF2EE3">
        <w:t>Czech Republic</w:t>
      </w:r>
      <w:r w:rsidRPr="0052454F">
        <w:t xml:space="preserve">, </w:t>
      </w:r>
      <w:r>
        <w:t>26</w:t>
      </w:r>
      <w:r w:rsidRPr="0052454F">
        <w:t xml:space="preserve">th – </w:t>
      </w:r>
      <w:r>
        <w:t>30</w:t>
      </w:r>
      <w:r w:rsidRPr="0052454F">
        <w:t xml:space="preserve">th </w:t>
      </w:r>
      <w:r>
        <w:t>August</w:t>
      </w:r>
      <w:r w:rsidRPr="0052454F">
        <w:t xml:space="preserve"> 2019</w:t>
      </w:r>
    </w:p>
    <w:p w14:paraId="60A5317D" w14:textId="77777777" w:rsidR="00E90E49" w:rsidRPr="00893D97" w:rsidRDefault="00E90E49" w:rsidP="00357380">
      <w:pPr>
        <w:pStyle w:val="3GPPHeader"/>
      </w:pPr>
    </w:p>
    <w:p w14:paraId="3C6869D1" w14:textId="4080F46A" w:rsidR="00E90E49" w:rsidRPr="00893D97" w:rsidRDefault="00E90E49" w:rsidP="003539A9">
      <w:pPr>
        <w:pStyle w:val="3GPPHeader"/>
        <w:tabs>
          <w:tab w:val="clear" w:pos="9639"/>
          <w:tab w:val="left" w:pos="7812"/>
        </w:tabs>
        <w:rPr>
          <w:sz w:val="22"/>
        </w:rPr>
      </w:pPr>
      <w:r w:rsidRPr="00893D97">
        <w:rPr>
          <w:sz w:val="22"/>
        </w:rPr>
        <w:t>Agenda Item:</w:t>
      </w:r>
      <w:r w:rsidRPr="00893D97">
        <w:rPr>
          <w:sz w:val="22"/>
        </w:rPr>
        <w:tab/>
      </w:r>
      <w:r w:rsidR="00994B1D" w:rsidRPr="00893D97">
        <w:rPr>
          <w:sz w:val="22"/>
        </w:rPr>
        <w:t>7.2.5.2</w:t>
      </w:r>
      <w:r w:rsidR="003539A9">
        <w:rPr>
          <w:sz w:val="22"/>
        </w:rPr>
        <w:tab/>
      </w:r>
    </w:p>
    <w:p w14:paraId="0CB055DD" w14:textId="77777777" w:rsidR="00E90E49" w:rsidRPr="00893D97" w:rsidRDefault="003D3C45" w:rsidP="00F64C2B">
      <w:pPr>
        <w:pStyle w:val="3GPPHeader"/>
        <w:rPr>
          <w:sz w:val="22"/>
        </w:rPr>
      </w:pPr>
      <w:r w:rsidRPr="00893D97">
        <w:rPr>
          <w:sz w:val="22"/>
        </w:rPr>
        <w:t>Source:</w:t>
      </w:r>
      <w:r w:rsidR="00E90E49" w:rsidRPr="00893D97">
        <w:rPr>
          <w:sz w:val="22"/>
        </w:rPr>
        <w:tab/>
      </w:r>
      <w:r w:rsidR="00F64C2B" w:rsidRPr="00893D97">
        <w:rPr>
          <w:sz w:val="22"/>
        </w:rPr>
        <w:t>Ericsson</w:t>
      </w:r>
    </w:p>
    <w:p w14:paraId="63DAB814" w14:textId="3E1AC196" w:rsidR="00E90E49" w:rsidRPr="00893D97" w:rsidRDefault="003D3C45" w:rsidP="00311702">
      <w:pPr>
        <w:pStyle w:val="3GPPHeader"/>
        <w:rPr>
          <w:sz w:val="22"/>
        </w:rPr>
      </w:pPr>
      <w:r w:rsidRPr="00893D97">
        <w:rPr>
          <w:sz w:val="22"/>
        </w:rPr>
        <w:t>Title:</w:t>
      </w:r>
      <w:r w:rsidR="00E90E49" w:rsidRPr="00893D97">
        <w:rPr>
          <w:sz w:val="22"/>
        </w:rPr>
        <w:tab/>
      </w:r>
      <w:r w:rsidR="006B168D" w:rsidRPr="00893D97">
        <w:rPr>
          <w:sz w:val="22"/>
        </w:rPr>
        <w:t xml:space="preserve">On </w:t>
      </w:r>
      <w:r w:rsidR="00994B1D" w:rsidRPr="00893D97">
        <w:rPr>
          <w:sz w:val="22"/>
        </w:rPr>
        <w:t>physical layer control procedures</w:t>
      </w:r>
      <w:r w:rsidR="006B168D" w:rsidRPr="00893D97">
        <w:rPr>
          <w:sz w:val="22"/>
        </w:rPr>
        <w:t xml:space="preserve"> for NTN</w:t>
      </w:r>
    </w:p>
    <w:p w14:paraId="76893D37" w14:textId="73ADB181" w:rsidR="00E90E49" w:rsidRPr="00893D97" w:rsidRDefault="00E90E49" w:rsidP="000E5128">
      <w:pPr>
        <w:pStyle w:val="3GPPHeader"/>
        <w:rPr>
          <w:sz w:val="22"/>
        </w:rPr>
      </w:pPr>
      <w:r w:rsidRPr="00893D97">
        <w:rPr>
          <w:sz w:val="22"/>
        </w:rPr>
        <w:t>Document for:</w:t>
      </w:r>
      <w:r w:rsidRPr="00893D97">
        <w:rPr>
          <w:sz w:val="22"/>
        </w:rPr>
        <w:tab/>
        <w:t>Discussion</w:t>
      </w:r>
    </w:p>
    <w:p w14:paraId="09FE4FCF" w14:textId="77777777" w:rsidR="00E90E49" w:rsidRPr="00CE0424" w:rsidRDefault="00230D18" w:rsidP="00CE0424">
      <w:pPr>
        <w:pStyle w:val="Heading1"/>
      </w:pPr>
      <w:r>
        <w:t>1</w:t>
      </w:r>
      <w:r>
        <w:tab/>
      </w:r>
      <w:r w:rsidR="00E90E49" w:rsidRPr="00CE0424">
        <w:t>Introduction</w:t>
      </w:r>
    </w:p>
    <w:p w14:paraId="7AC1BBE3" w14:textId="5FC64450" w:rsidR="00A2268A" w:rsidRPr="00893D97" w:rsidRDefault="0072575A" w:rsidP="000E5128">
      <w:pPr>
        <w:jc w:val="both"/>
        <w:rPr>
          <w:rFonts w:ascii="Arial" w:hAnsi="Arial"/>
          <w:sz w:val="20"/>
          <w:szCs w:val="20"/>
        </w:rPr>
      </w:pPr>
      <w:r>
        <w:rPr>
          <w:rFonts w:ascii="Arial" w:hAnsi="Arial"/>
          <w:sz w:val="20"/>
          <w:szCs w:val="20"/>
        </w:rPr>
        <w:t>In RAN1</w:t>
      </w:r>
      <w:r w:rsidR="004D3D87">
        <w:rPr>
          <w:rFonts w:ascii="Arial" w:hAnsi="Arial"/>
          <w:sz w:val="20"/>
          <w:szCs w:val="20"/>
        </w:rPr>
        <w:t xml:space="preserve">#97, the following agreements were made related </w:t>
      </w:r>
      <w:r w:rsidR="003539A9">
        <w:rPr>
          <w:rFonts w:ascii="Arial" w:hAnsi="Arial"/>
          <w:sz w:val="20"/>
          <w:szCs w:val="20"/>
        </w:rPr>
        <w:t xml:space="preserve">to </w:t>
      </w:r>
      <w:r w:rsidR="004D3D87">
        <w:rPr>
          <w:rFonts w:ascii="Arial" w:hAnsi="Arial"/>
          <w:sz w:val="20"/>
          <w:szCs w:val="20"/>
        </w:rPr>
        <w:t>physical layer control procedures for NTN:</w:t>
      </w:r>
    </w:p>
    <w:p w14:paraId="4E63BDAC" w14:textId="57BEA8FA" w:rsidR="00A2268A" w:rsidRDefault="00A2268A" w:rsidP="000E5128">
      <w:pPr>
        <w:jc w:val="both"/>
        <w:rPr>
          <w:rFonts w:ascii="Arial" w:hAnsi="Arial"/>
        </w:rPr>
      </w:pPr>
      <w:r>
        <w:rPr>
          <w:noProof/>
        </w:rPr>
        <mc:AlternateContent>
          <mc:Choice Requires="wps">
            <w:drawing>
              <wp:inline distT="0" distB="0" distL="0" distR="0" wp14:anchorId="43A6EEA9" wp14:editId="7E6C5E9F">
                <wp:extent cx="6120765" cy="2026023"/>
                <wp:effectExtent l="0" t="0" r="13335" b="12700"/>
                <wp:docPr id="2" name="Text Box 2"/>
                <wp:cNvGraphicFramePr/>
                <a:graphic xmlns:a="http://schemas.openxmlformats.org/drawingml/2006/main">
                  <a:graphicData uri="http://schemas.microsoft.com/office/word/2010/wordprocessingShape">
                    <wps:wsp>
                      <wps:cNvSpPr txBox="1"/>
                      <wps:spPr>
                        <a:xfrm>
                          <a:off x="0" y="0"/>
                          <a:ext cx="6120765" cy="2026023"/>
                        </a:xfrm>
                        <a:prstGeom prst="rect">
                          <a:avLst/>
                        </a:prstGeom>
                        <a:solidFill>
                          <a:schemeClr val="lt1"/>
                        </a:solidFill>
                        <a:ln w="6350">
                          <a:solidFill>
                            <a:prstClr val="black"/>
                          </a:solidFill>
                        </a:ln>
                      </wps:spPr>
                      <wps:txbx>
                        <w:txbxContent>
                          <w:p w14:paraId="63244212" w14:textId="77777777" w:rsidR="00036817" w:rsidRPr="00036817" w:rsidRDefault="00036817" w:rsidP="00036817">
                            <w:pPr>
                              <w:spacing w:after="0" w:line="240" w:lineRule="auto"/>
                              <w:rPr>
                                <w:rFonts w:ascii="Times" w:eastAsia="Batang" w:hAnsi="Times" w:cs="Times New Roman"/>
                                <w:sz w:val="20"/>
                                <w:szCs w:val="24"/>
                              </w:rPr>
                            </w:pPr>
                            <w:r w:rsidRPr="00036817">
                              <w:rPr>
                                <w:rFonts w:ascii="Times" w:eastAsia="Batang" w:hAnsi="Times" w:cs="Times New Roman"/>
                                <w:sz w:val="20"/>
                                <w:szCs w:val="24"/>
                                <w:highlight w:val="green"/>
                              </w:rPr>
                              <w:t>Agreement:</w:t>
                            </w:r>
                          </w:p>
                          <w:p w14:paraId="0107A032" w14:textId="77777777" w:rsidR="00036817" w:rsidRPr="00036817" w:rsidRDefault="00036817" w:rsidP="00036817">
                            <w:pPr>
                              <w:spacing w:after="0" w:line="240" w:lineRule="auto"/>
                              <w:rPr>
                                <w:rFonts w:ascii="Times" w:eastAsia="Batang" w:hAnsi="Times" w:cs="Times New Roman"/>
                                <w:sz w:val="20"/>
                                <w:szCs w:val="24"/>
                              </w:rPr>
                            </w:pPr>
                            <w:r w:rsidRPr="00036817">
                              <w:rPr>
                                <w:rFonts w:ascii="Times" w:eastAsia="Batang" w:hAnsi="Times" w:cs="Times New Roman"/>
                                <w:sz w:val="20"/>
                                <w:szCs w:val="24"/>
                              </w:rPr>
                              <w:t xml:space="preserve">The need and the applicable scenarios for potential enhancements (with respect to the power control schemes in NR Rel-15) for both open-loop and closed-loop power control for NTN are to be studied.  </w:t>
                            </w:r>
                          </w:p>
                          <w:p w14:paraId="1C994C53" w14:textId="77777777" w:rsidR="00036817" w:rsidRPr="00036817" w:rsidRDefault="00036817" w:rsidP="00036817">
                            <w:pPr>
                              <w:spacing w:after="0" w:line="240" w:lineRule="auto"/>
                              <w:rPr>
                                <w:rFonts w:ascii="Times" w:eastAsia="Batang" w:hAnsi="Times" w:cs="Times New Roman"/>
                                <w:sz w:val="20"/>
                                <w:szCs w:val="24"/>
                              </w:rPr>
                            </w:pPr>
                          </w:p>
                          <w:p w14:paraId="4011BB6F" w14:textId="77777777" w:rsidR="00036817" w:rsidRPr="00036817" w:rsidRDefault="00036817" w:rsidP="00036817">
                            <w:pPr>
                              <w:spacing w:after="0" w:line="240" w:lineRule="auto"/>
                              <w:rPr>
                                <w:rFonts w:ascii="Times" w:eastAsia="Batang" w:hAnsi="Times" w:cs="Times New Roman"/>
                                <w:sz w:val="20"/>
                                <w:szCs w:val="24"/>
                              </w:rPr>
                            </w:pPr>
                            <w:r w:rsidRPr="00036817">
                              <w:rPr>
                                <w:rFonts w:ascii="Times" w:eastAsia="Batang" w:hAnsi="Times" w:cs="Times New Roman"/>
                                <w:sz w:val="20"/>
                                <w:szCs w:val="24"/>
                                <w:highlight w:val="green"/>
                              </w:rPr>
                              <w:t>Agreement:</w:t>
                            </w:r>
                          </w:p>
                          <w:p w14:paraId="035067E8" w14:textId="77777777" w:rsidR="00036817" w:rsidRPr="00036817" w:rsidRDefault="00036817" w:rsidP="00036817">
                            <w:pPr>
                              <w:spacing w:after="0" w:line="240" w:lineRule="auto"/>
                              <w:rPr>
                                <w:rFonts w:ascii="Times" w:eastAsia="Batang" w:hAnsi="Times" w:cs="Times New Roman"/>
                                <w:sz w:val="20"/>
                                <w:szCs w:val="24"/>
                              </w:rPr>
                            </w:pPr>
                            <w:r w:rsidRPr="00036817">
                              <w:rPr>
                                <w:rFonts w:ascii="Times" w:eastAsia="Batang" w:hAnsi="Times" w:cs="Times New Roman"/>
                                <w:sz w:val="20"/>
                                <w:szCs w:val="24"/>
                              </w:rPr>
                              <w:t>Study the performance of AMC in NTN considering at least the following solutions (some solutions may have no specification impact):</w:t>
                            </w:r>
                          </w:p>
                          <w:p w14:paraId="3EAEF185" w14:textId="77777777" w:rsidR="00036817" w:rsidRPr="00036817" w:rsidRDefault="00036817" w:rsidP="00CB5B63">
                            <w:pPr>
                              <w:numPr>
                                <w:ilvl w:val="0"/>
                                <w:numId w:val="16"/>
                              </w:numPr>
                              <w:spacing w:after="0" w:line="240" w:lineRule="auto"/>
                              <w:rPr>
                                <w:rFonts w:ascii="Times" w:eastAsia="Batang" w:hAnsi="Times" w:cs="Times New Roman"/>
                                <w:sz w:val="20"/>
                                <w:szCs w:val="24"/>
                              </w:rPr>
                            </w:pPr>
                            <w:r w:rsidRPr="00036817">
                              <w:rPr>
                                <w:rFonts w:ascii="Times" w:eastAsia="Batang" w:hAnsi="Times" w:cs="Times New Roman"/>
                                <w:sz w:val="20"/>
                                <w:szCs w:val="24"/>
                              </w:rPr>
                              <w:t>Prediction-based link adaptation with prediction confidence level</w:t>
                            </w:r>
                          </w:p>
                          <w:p w14:paraId="587444AC" w14:textId="77777777" w:rsidR="00036817" w:rsidRPr="00036817" w:rsidRDefault="00036817" w:rsidP="00CB5B63">
                            <w:pPr>
                              <w:numPr>
                                <w:ilvl w:val="0"/>
                                <w:numId w:val="16"/>
                              </w:numPr>
                              <w:spacing w:after="0" w:line="240" w:lineRule="auto"/>
                              <w:rPr>
                                <w:rFonts w:ascii="Times" w:eastAsia="Batang" w:hAnsi="Times" w:cs="Times New Roman"/>
                                <w:sz w:val="20"/>
                                <w:szCs w:val="24"/>
                              </w:rPr>
                            </w:pPr>
                            <w:r w:rsidRPr="00036817">
                              <w:rPr>
                                <w:rFonts w:ascii="Times" w:eastAsia="Batang" w:hAnsi="Times" w:cs="Times New Roman"/>
                                <w:sz w:val="20"/>
                                <w:szCs w:val="24"/>
                              </w:rPr>
                              <w:t>AMC with CQI reflecting only long-term fading</w:t>
                            </w:r>
                          </w:p>
                          <w:p w14:paraId="7F7B64A7" w14:textId="77777777" w:rsidR="00036817" w:rsidRPr="00036817" w:rsidRDefault="00036817" w:rsidP="00CB5B63">
                            <w:pPr>
                              <w:numPr>
                                <w:ilvl w:val="0"/>
                                <w:numId w:val="16"/>
                              </w:numPr>
                              <w:spacing w:after="0" w:line="240" w:lineRule="auto"/>
                              <w:rPr>
                                <w:rFonts w:ascii="Times" w:eastAsia="Batang" w:hAnsi="Times" w:cs="Times New Roman"/>
                                <w:sz w:val="20"/>
                                <w:szCs w:val="24"/>
                              </w:rPr>
                            </w:pPr>
                            <w:r w:rsidRPr="00036817">
                              <w:rPr>
                                <w:rFonts w:ascii="Times" w:eastAsia="Batang" w:hAnsi="Times" w:cs="Times New Roman"/>
                                <w:sz w:val="20"/>
                                <w:szCs w:val="24"/>
                              </w:rPr>
                              <w:t>Additional BLER targets for CQI reporting to limit number of retransmissions and latency</w:t>
                            </w:r>
                          </w:p>
                          <w:p w14:paraId="3BD169A2" w14:textId="77777777" w:rsidR="00036817" w:rsidRPr="00036817" w:rsidRDefault="00036817" w:rsidP="00CB5B63">
                            <w:pPr>
                              <w:numPr>
                                <w:ilvl w:val="0"/>
                                <w:numId w:val="16"/>
                              </w:numPr>
                              <w:spacing w:after="0" w:line="240" w:lineRule="auto"/>
                              <w:rPr>
                                <w:rFonts w:ascii="Times" w:eastAsia="Batang" w:hAnsi="Times" w:cs="Times New Roman"/>
                                <w:sz w:val="20"/>
                                <w:szCs w:val="24"/>
                              </w:rPr>
                            </w:pPr>
                            <w:r w:rsidRPr="00036817">
                              <w:rPr>
                                <w:rFonts w:ascii="Times" w:eastAsia="Batang" w:hAnsi="Times" w:cs="Times New Roman"/>
                                <w:sz w:val="20"/>
                                <w:szCs w:val="24"/>
                              </w:rPr>
                              <w:t>CQI offset applied by gNB</w:t>
                            </w:r>
                          </w:p>
                          <w:p w14:paraId="6BCE3534" w14:textId="77777777" w:rsidR="00036817" w:rsidRPr="00036817" w:rsidRDefault="00036817" w:rsidP="00CB5B63">
                            <w:pPr>
                              <w:numPr>
                                <w:ilvl w:val="0"/>
                                <w:numId w:val="16"/>
                              </w:numPr>
                              <w:spacing w:after="0" w:line="240" w:lineRule="auto"/>
                              <w:rPr>
                                <w:rFonts w:ascii="Times" w:eastAsia="Batang" w:hAnsi="Times" w:cs="Times New Roman"/>
                                <w:sz w:val="20"/>
                                <w:szCs w:val="24"/>
                              </w:rPr>
                            </w:pPr>
                            <w:r w:rsidRPr="00036817">
                              <w:rPr>
                                <w:rFonts w:ascii="Times" w:eastAsia="Batang" w:hAnsi="Times" w:cs="Times New Roman"/>
                                <w:sz w:val="20"/>
                                <w:szCs w:val="24"/>
                              </w:rPr>
                              <w:t>Finer granularity of CQI</w:t>
                            </w:r>
                          </w:p>
                          <w:p w14:paraId="60DC056C" w14:textId="77777777" w:rsidR="00036817" w:rsidRPr="00036817" w:rsidRDefault="00036817" w:rsidP="00CB5B63">
                            <w:pPr>
                              <w:numPr>
                                <w:ilvl w:val="0"/>
                                <w:numId w:val="16"/>
                              </w:numPr>
                              <w:spacing w:after="0" w:line="240" w:lineRule="auto"/>
                              <w:rPr>
                                <w:rFonts w:ascii="Times" w:eastAsia="Batang" w:hAnsi="Times" w:cs="Times New Roman"/>
                                <w:sz w:val="20"/>
                                <w:szCs w:val="24"/>
                              </w:rPr>
                            </w:pPr>
                            <w:r w:rsidRPr="00036817">
                              <w:rPr>
                                <w:rFonts w:ascii="Times" w:eastAsia="Batang" w:hAnsi="Times" w:cs="Times New Roman"/>
                                <w:sz w:val="20"/>
                                <w:szCs w:val="24"/>
                              </w:rPr>
                              <w:t>Prediction based CQI reporting</w:t>
                            </w:r>
                          </w:p>
                          <w:p w14:paraId="5FA9AA7D" w14:textId="77777777" w:rsidR="00A2268A" w:rsidRPr="00893D97" w:rsidRDefault="00A2268A" w:rsidP="00A2268A">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3A6EEA9" id="_x0000_t202" coordsize="21600,21600" o:spt="202" path="m,l,21600r21600,l21600,xe">
                <v:stroke joinstyle="miter"/>
                <v:path gradientshapeok="t" o:connecttype="rect"/>
              </v:shapetype>
              <v:shape id="Text Box 2" o:spid="_x0000_s1026" type="#_x0000_t202" style="width:481.95pt;height:15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" fillcolor="white [3201]" strokeweight=".5pt">
                <v:textbox>
                  <w:txbxContent>
                    <w:p w14:paraId="63244212" w14:textId="77777777" w:rsidR="00036817" w:rsidRPr="00036817" w:rsidRDefault="00036817" w:rsidP="00036817">
                      <w:pPr>
                        <w:spacing w:after="0" w:line="240" w:lineRule="auto"/>
                        <w:rPr>
                          <w:rFonts w:ascii="Times" w:eastAsia="Batang" w:hAnsi="Times" w:cs="Times New Roman"/>
                          <w:sz w:val="20"/>
                          <w:szCs w:val="24"/>
                        </w:rPr>
                      </w:pPr>
                      <w:r w:rsidRPr="00036817">
                        <w:rPr>
                          <w:rFonts w:ascii="Times" w:eastAsia="Batang" w:hAnsi="Times" w:cs="Times New Roman"/>
                          <w:sz w:val="20"/>
                          <w:szCs w:val="24"/>
                          <w:highlight w:val="green"/>
                        </w:rPr>
                        <w:t>Agreement:</w:t>
                      </w:r>
                    </w:p>
                    <w:p w14:paraId="0107A032" w14:textId="77777777" w:rsidR="00036817" w:rsidRPr="00036817" w:rsidRDefault="00036817" w:rsidP="00036817">
                      <w:pPr>
                        <w:spacing w:after="0" w:line="240" w:lineRule="auto"/>
                        <w:rPr>
                          <w:rFonts w:ascii="Times" w:eastAsia="Batang" w:hAnsi="Times" w:cs="Times New Roman"/>
                          <w:sz w:val="20"/>
                          <w:szCs w:val="24"/>
                        </w:rPr>
                      </w:pPr>
                      <w:r w:rsidRPr="00036817">
                        <w:rPr>
                          <w:rFonts w:ascii="Times" w:eastAsia="Batang" w:hAnsi="Times" w:cs="Times New Roman"/>
                          <w:sz w:val="20"/>
                          <w:szCs w:val="24"/>
                        </w:rPr>
                        <w:t xml:space="preserve">The need and the applicable scenarios for potential enhancements (with respect to the power control schemes in NR Rel-15) for both open-loop and closed-loop power control for NTN are to be studied.  </w:t>
                      </w:r>
                    </w:p>
                    <w:p w14:paraId="1C994C53" w14:textId="77777777" w:rsidR="00036817" w:rsidRPr="00036817" w:rsidRDefault="00036817" w:rsidP="00036817">
                      <w:pPr>
                        <w:spacing w:after="0" w:line="240" w:lineRule="auto"/>
                        <w:rPr>
                          <w:rFonts w:ascii="Times" w:eastAsia="Batang" w:hAnsi="Times" w:cs="Times New Roman"/>
                          <w:sz w:val="20"/>
                          <w:szCs w:val="24"/>
                        </w:rPr>
                      </w:pPr>
                    </w:p>
                    <w:p w14:paraId="4011BB6F" w14:textId="77777777" w:rsidR="00036817" w:rsidRPr="00036817" w:rsidRDefault="00036817" w:rsidP="00036817">
                      <w:pPr>
                        <w:spacing w:after="0" w:line="240" w:lineRule="auto"/>
                        <w:rPr>
                          <w:rFonts w:ascii="Times" w:eastAsia="Batang" w:hAnsi="Times" w:cs="Times New Roman"/>
                          <w:sz w:val="20"/>
                          <w:szCs w:val="24"/>
                        </w:rPr>
                      </w:pPr>
                      <w:r w:rsidRPr="00036817">
                        <w:rPr>
                          <w:rFonts w:ascii="Times" w:eastAsia="Batang" w:hAnsi="Times" w:cs="Times New Roman"/>
                          <w:sz w:val="20"/>
                          <w:szCs w:val="24"/>
                          <w:highlight w:val="green"/>
                        </w:rPr>
                        <w:t>Agreement:</w:t>
                      </w:r>
                    </w:p>
                    <w:p w14:paraId="035067E8" w14:textId="77777777" w:rsidR="00036817" w:rsidRPr="00036817" w:rsidRDefault="00036817" w:rsidP="00036817">
                      <w:pPr>
                        <w:spacing w:after="0" w:line="240" w:lineRule="auto"/>
                        <w:rPr>
                          <w:rFonts w:ascii="Times" w:eastAsia="Batang" w:hAnsi="Times" w:cs="Times New Roman"/>
                          <w:sz w:val="20"/>
                          <w:szCs w:val="24"/>
                        </w:rPr>
                      </w:pPr>
                      <w:r w:rsidRPr="00036817">
                        <w:rPr>
                          <w:rFonts w:ascii="Times" w:eastAsia="Batang" w:hAnsi="Times" w:cs="Times New Roman"/>
                          <w:sz w:val="20"/>
                          <w:szCs w:val="24"/>
                        </w:rPr>
                        <w:t>Study the performance of AMC in NTN considering at least the following solutions (some solutions may have no specification impact):</w:t>
                      </w:r>
                    </w:p>
                    <w:p w14:paraId="3EAEF185" w14:textId="77777777" w:rsidR="00036817" w:rsidRPr="00036817" w:rsidRDefault="00036817" w:rsidP="00CB5B63">
                      <w:pPr>
                        <w:numPr>
                          <w:ilvl w:val="0"/>
                          <w:numId w:val="16"/>
                        </w:numPr>
                        <w:spacing w:after="0" w:line="240" w:lineRule="auto"/>
                        <w:rPr>
                          <w:rFonts w:ascii="Times" w:eastAsia="Batang" w:hAnsi="Times" w:cs="Times New Roman"/>
                          <w:sz w:val="20"/>
                          <w:szCs w:val="24"/>
                        </w:rPr>
                      </w:pPr>
                      <w:r w:rsidRPr="00036817">
                        <w:rPr>
                          <w:rFonts w:ascii="Times" w:eastAsia="Batang" w:hAnsi="Times" w:cs="Times New Roman"/>
                          <w:sz w:val="20"/>
                          <w:szCs w:val="24"/>
                        </w:rPr>
                        <w:t>Prediction-based link adaptation with prediction confidence level</w:t>
                      </w:r>
                    </w:p>
                    <w:p w14:paraId="587444AC" w14:textId="77777777" w:rsidR="00036817" w:rsidRPr="00036817" w:rsidRDefault="00036817" w:rsidP="00CB5B63">
                      <w:pPr>
                        <w:numPr>
                          <w:ilvl w:val="0"/>
                          <w:numId w:val="16"/>
                        </w:numPr>
                        <w:spacing w:after="0" w:line="240" w:lineRule="auto"/>
                        <w:rPr>
                          <w:rFonts w:ascii="Times" w:eastAsia="Batang" w:hAnsi="Times" w:cs="Times New Roman"/>
                          <w:sz w:val="20"/>
                          <w:szCs w:val="24"/>
                        </w:rPr>
                      </w:pPr>
                      <w:r w:rsidRPr="00036817">
                        <w:rPr>
                          <w:rFonts w:ascii="Times" w:eastAsia="Batang" w:hAnsi="Times" w:cs="Times New Roman"/>
                          <w:sz w:val="20"/>
                          <w:szCs w:val="24"/>
                        </w:rPr>
                        <w:t>AMC with CQI reflecting only long-term fading</w:t>
                      </w:r>
                    </w:p>
                    <w:p w14:paraId="7F7B64A7" w14:textId="77777777" w:rsidR="00036817" w:rsidRPr="00036817" w:rsidRDefault="00036817" w:rsidP="00CB5B63">
                      <w:pPr>
                        <w:numPr>
                          <w:ilvl w:val="0"/>
                          <w:numId w:val="16"/>
                        </w:numPr>
                        <w:spacing w:after="0" w:line="240" w:lineRule="auto"/>
                        <w:rPr>
                          <w:rFonts w:ascii="Times" w:eastAsia="Batang" w:hAnsi="Times" w:cs="Times New Roman"/>
                          <w:sz w:val="20"/>
                          <w:szCs w:val="24"/>
                        </w:rPr>
                      </w:pPr>
                      <w:r w:rsidRPr="00036817">
                        <w:rPr>
                          <w:rFonts w:ascii="Times" w:eastAsia="Batang" w:hAnsi="Times" w:cs="Times New Roman"/>
                          <w:sz w:val="20"/>
                          <w:szCs w:val="24"/>
                        </w:rPr>
                        <w:t>Additional BLER targets for CQI reporting to limit number of retransmissions and latency</w:t>
                      </w:r>
                    </w:p>
                    <w:p w14:paraId="3BD169A2" w14:textId="77777777" w:rsidR="00036817" w:rsidRPr="00036817" w:rsidRDefault="00036817" w:rsidP="00CB5B63">
                      <w:pPr>
                        <w:numPr>
                          <w:ilvl w:val="0"/>
                          <w:numId w:val="16"/>
                        </w:numPr>
                        <w:spacing w:after="0" w:line="240" w:lineRule="auto"/>
                        <w:rPr>
                          <w:rFonts w:ascii="Times" w:eastAsia="Batang" w:hAnsi="Times" w:cs="Times New Roman"/>
                          <w:sz w:val="20"/>
                          <w:szCs w:val="24"/>
                        </w:rPr>
                      </w:pPr>
                      <w:r w:rsidRPr="00036817">
                        <w:rPr>
                          <w:rFonts w:ascii="Times" w:eastAsia="Batang" w:hAnsi="Times" w:cs="Times New Roman"/>
                          <w:sz w:val="20"/>
                          <w:szCs w:val="24"/>
                        </w:rPr>
                        <w:t>CQI offset applied by gNB</w:t>
                      </w:r>
                    </w:p>
                    <w:p w14:paraId="6BCE3534" w14:textId="77777777" w:rsidR="00036817" w:rsidRPr="00036817" w:rsidRDefault="00036817" w:rsidP="00CB5B63">
                      <w:pPr>
                        <w:numPr>
                          <w:ilvl w:val="0"/>
                          <w:numId w:val="16"/>
                        </w:numPr>
                        <w:spacing w:after="0" w:line="240" w:lineRule="auto"/>
                        <w:rPr>
                          <w:rFonts w:ascii="Times" w:eastAsia="Batang" w:hAnsi="Times" w:cs="Times New Roman"/>
                          <w:sz w:val="20"/>
                          <w:szCs w:val="24"/>
                        </w:rPr>
                      </w:pPr>
                      <w:r w:rsidRPr="00036817">
                        <w:rPr>
                          <w:rFonts w:ascii="Times" w:eastAsia="Batang" w:hAnsi="Times" w:cs="Times New Roman"/>
                          <w:sz w:val="20"/>
                          <w:szCs w:val="24"/>
                        </w:rPr>
                        <w:t>Finer granularity of CQI</w:t>
                      </w:r>
                    </w:p>
                    <w:p w14:paraId="60DC056C" w14:textId="77777777" w:rsidR="00036817" w:rsidRPr="00036817" w:rsidRDefault="00036817" w:rsidP="00CB5B63">
                      <w:pPr>
                        <w:numPr>
                          <w:ilvl w:val="0"/>
                          <w:numId w:val="16"/>
                        </w:numPr>
                        <w:spacing w:after="0" w:line="240" w:lineRule="auto"/>
                        <w:rPr>
                          <w:rFonts w:ascii="Times" w:eastAsia="Batang" w:hAnsi="Times" w:cs="Times New Roman"/>
                          <w:sz w:val="20"/>
                          <w:szCs w:val="24"/>
                        </w:rPr>
                      </w:pPr>
                      <w:r w:rsidRPr="00036817">
                        <w:rPr>
                          <w:rFonts w:ascii="Times" w:eastAsia="Batang" w:hAnsi="Times" w:cs="Times New Roman"/>
                          <w:sz w:val="20"/>
                          <w:szCs w:val="24"/>
                        </w:rPr>
                        <w:t>Prediction based CQI reporting</w:t>
                      </w:r>
                    </w:p>
                    <w:p w14:paraId="5FA9AA7D" w14:textId="77777777" w:rsidR="00A2268A" w:rsidRPr="00893D97" w:rsidRDefault="00A2268A" w:rsidP="00A2268A">
                      <w:pPr>
                        <w:rPr>
                          <w:sz w:val="20"/>
                          <w:szCs w:val="20"/>
                        </w:rPr>
                      </w:pPr>
                    </w:p>
                  </w:txbxContent>
                </v:textbox>
                <w10:anchorlock/>
              </v:shape>
            </w:pict>
          </mc:Fallback>
        </mc:AlternateContent>
      </w:r>
    </w:p>
    <w:p w14:paraId="79925E8F" w14:textId="01771C46" w:rsidR="00976F50" w:rsidRPr="00893D97" w:rsidRDefault="00A2268A" w:rsidP="00976F50">
      <w:pPr>
        <w:jc w:val="both"/>
        <w:rPr>
          <w:rFonts w:ascii="Arial" w:hAnsi="Arial"/>
          <w:sz w:val="20"/>
          <w:szCs w:val="20"/>
        </w:rPr>
      </w:pPr>
      <w:r w:rsidRPr="00893D97">
        <w:rPr>
          <w:rFonts w:ascii="Arial" w:hAnsi="Arial"/>
          <w:sz w:val="20"/>
          <w:szCs w:val="20"/>
        </w:rPr>
        <w:t xml:space="preserve">In </w:t>
      </w:r>
      <w:r w:rsidR="00036817">
        <w:rPr>
          <w:rFonts w:ascii="Arial" w:hAnsi="Arial"/>
          <w:sz w:val="20"/>
          <w:szCs w:val="20"/>
        </w:rPr>
        <w:t xml:space="preserve">addition, other issues related to physical layer control procedures for NTN were discussed offline and summarized in [2].  In </w:t>
      </w:r>
      <w:r w:rsidRPr="00893D97">
        <w:rPr>
          <w:rFonts w:ascii="Arial" w:hAnsi="Arial"/>
          <w:sz w:val="20"/>
          <w:szCs w:val="20"/>
        </w:rPr>
        <w:t xml:space="preserve">this contribution, we provide </w:t>
      </w:r>
      <w:r w:rsidR="00FB7577" w:rsidRPr="00893D97">
        <w:rPr>
          <w:rFonts w:ascii="Arial" w:hAnsi="Arial"/>
          <w:sz w:val="20"/>
          <w:szCs w:val="20"/>
        </w:rPr>
        <w:t xml:space="preserve">our views on </w:t>
      </w:r>
      <w:r w:rsidR="00B04D7B" w:rsidRPr="00893D97">
        <w:rPr>
          <w:rFonts w:ascii="Arial" w:hAnsi="Arial"/>
          <w:sz w:val="20"/>
          <w:szCs w:val="20"/>
        </w:rPr>
        <w:t>physical layer control procedures</w:t>
      </w:r>
      <w:r w:rsidR="00FB7577" w:rsidRPr="00893D97">
        <w:rPr>
          <w:rFonts w:ascii="Arial" w:hAnsi="Arial"/>
          <w:sz w:val="20"/>
          <w:szCs w:val="20"/>
        </w:rPr>
        <w:t xml:space="preserve"> for NTN</w:t>
      </w:r>
      <w:r w:rsidR="00AE419B" w:rsidRPr="00893D97">
        <w:rPr>
          <w:rFonts w:ascii="Arial" w:hAnsi="Arial"/>
          <w:sz w:val="20"/>
          <w:szCs w:val="20"/>
        </w:rPr>
        <w:t xml:space="preserve"> UEs in connected mode</w:t>
      </w:r>
      <w:r w:rsidR="00FB7577" w:rsidRPr="00893D97">
        <w:rPr>
          <w:rFonts w:ascii="Arial" w:hAnsi="Arial"/>
          <w:sz w:val="20"/>
          <w:szCs w:val="20"/>
        </w:rPr>
        <w:t>.</w:t>
      </w:r>
      <w:bookmarkStart w:id="1" w:name="_Ref178064866"/>
    </w:p>
    <w:p w14:paraId="020415C4" w14:textId="1C50DCCF" w:rsidR="004000E8" w:rsidRDefault="00230D18" w:rsidP="00976F50">
      <w:pPr>
        <w:pStyle w:val="Heading1"/>
        <w:keepNext w:val="0"/>
        <w:keepLines w:val="0"/>
        <w:widowControl w:val="0"/>
        <w:ind w:left="1138" w:hanging="1138"/>
      </w:pPr>
      <w:r>
        <w:t>2</w:t>
      </w:r>
      <w:r>
        <w:tab/>
      </w:r>
      <w:r w:rsidR="004000E8" w:rsidRPr="00CE0424">
        <w:t>Discussion</w:t>
      </w:r>
      <w:bookmarkEnd w:id="1"/>
      <w:r w:rsidR="000D3292">
        <w:t xml:space="preserve"> on </w:t>
      </w:r>
      <w:r w:rsidR="000D3292" w:rsidRPr="000D3292">
        <w:t>UL transmission timing for NTN</w:t>
      </w:r>
    </w:p>
    <w:p w14:paraId="03C6BD4D" w14:textId="70CBD6A0" w:rsidR="00A50470" w:rsidRDefault="00537650" w:rsidP="00976F50">
      <w:pPr>
        <w:pStyle w:val="Heading2"/>
        <w:keepNext w:val="0"/>
        <w:keepLines w:val="0"/>
        <w:ind w:left="0" w:firstLine="0"/>
        <w:jc w:val="both"/>
        <w:rPr>
          <w:rFonts w:cs="Arial"/>
          <w:sz w:val="20"/>
          <w:lang w:eastAsia="zh-CN"/>
        </w:rPr>
      </w:pPr>
      <w:r>
        <w:rPr>
          <w:rFonts w:cs="Arial"/>
          <w:sz w:val="20"/>
          <w:lang w:eastAsia="zh-CN"/>
        </w:rPr>
        <w:t>The long propagation delays between the gNB and the UE is one of the physical phenomena that requires careful consideration when adapting NR to accommodate NTN.</w:t>
      </w:r>
      <w:r w:rsidR="00CD48FA">
        <w:rPr>
          <w:rFonts w:cs="Arial"/>
          <w:sz w:val="20"/>
          <w:lang w:eastAsia="zh-CN"/>
        </w:rPr>
        <w:t xml:space="preserve">  The one-way delay between the UE and the gNB depends on various factors such as the type of satellite (GEO, LEO, MEO, etc.), the elevation angles associated with the UE and gNB, </w:t>
      </w:r>
      <w:r w:rsidR="0006025C">
        <w:rPr>
          <w:rFonts w:cs="Arial"/>
          <w:sz w:val="20"/>
          <w:lang w:eastAsia="zh-CN"/>
        </w:rPr>
        <w:t>whether bent pipe or regenerative model is assumed, to name a few.  For the different scenarios considered in TR 38.8</w:t>
      </w:r>
      <w:r w:rsidR="00A65B44">
        <w:rPr>
          <w:rFonts w:cs="Arial"/>
          <w:sz w:val="20"/>
          <w:lang w:eastAsia="zh-CN"/>
        </w:rPr>
        <w:t>21</w:t>
      </w:r>
      <w:r w:rsidR="0006025C">
        <w:rPr>
          <w:rFonts w:cs="Arial"/>
          <w:sz w:val="20"/>
          <w:lang w:eastAsia="zh-CN"/>
        </w:rPr>
        <w:t>[</w:t>
      </w:r>
      <w:r w:rsidR="00FE4831">
        <w:rPr>
          <w:rFonts w:cs="Arial"/>
          <w:sz w:val="20"/>
          <w:lang w:eastAsia="zh-CN"/>
        </w:rPr>
        <w:t>3</w:t>
      </w:r>
      <w:r w:rsidR="0006025C">
        <w:rPr>
          <w:rFonts w:cs="Arial"/>
          <w:sz w:val="20"/>
          <w:lang w:eastAsia="zh-CN"/>
        </w:rPr>
        <w:t>], the one-way delay can range from ~6ms to ~272ms.</w:t>
      </w:r>
      <w:r w:rsidR="00F509AD">
        <w:rPr>
          <w:rFonts w:cs="Arial"/>
          <w:sz w:val="20"/>
          <w:lang w:eastAsia="zh-CN"/>
        </w:rPr>
        <w:t xml:space="preserve">  </w:t>
      </w:r>
    </w:p>
    <w:p w14:paraId="7120AF99" w14:textId="7E3BA156" w:rsidR="00BB1C7F" w:rsidRDefault="00A50470" w:rsidP="00976F50">
      <w:pPr>
        <w:pStyle w:val="Heading2"/>
        <w:keepNext w:val="0"/>
        <w:keepLines w:val="0"/>
        <w:ind w:left="0" w:firstLine="0"/>
        <w:jc w:val="both"/>
        <w:rPr>
          <w:rFonts w:cs="Arial"/>
          <w:sz w:val="20"/>
          <w:lang w:eastAsia="zh-CN"/>
        </w:rPr>
      </w:pPr>
      <w:r w:rsidRPr="00A50470">
        <w:rPr>
          <w:rFonts w:cs="Arial"/>
          <w:sz w:val="20"/>
          <w:lang w:eastAsia="zh-CN"/>
        </w:rPr>
        <w:t>In NR Release 15, the timing relationships of UCI</w:t>
      </w:r>
      <w:r>
        <w:rPr>
          <w:rFonts w:cs="Arial"/>
          <w:sz w:val="20"/>
          <w:lang w:eastAsia="zh-CN"/>
        </w:rPr>
        <w:t xml:space="preserve"> (uplink control information)</w:t>
      </w:r>
      <w:r w:rsidRPr="00A50470">
        <w:rPr>
          <w:rFonts w:cs="Arial"/>
          <w:sz w:val="20"/>
          <w:lang w:eastAsia="zh-CN"/>
        </w:rPr>
        <w:t xml:space="preserve"> transmission in NR PUCCH</w:t>
      </w:r>
      <w:r w:rsidR="004C6C7D">
        <w:rPr>
          <w:rFonts w:cs="Arial"/>
          <w:sz w:val="20"/>
          <w:lang w:eastAsia="zh-CN"/>
        </w:rPr>
        <w:t>/</w:t>
      </w:r>
      <w:r w:rsidRPr="00A50470">
        <w:rPr>
          <w:rFonts w:cs="Arial"/>
          <w:sz w:val="20"/>
          <w:lang w:eastAsia="zh-CN"/>
        </w:rPr>
        <w:t xml:space="preserve">PUSCH and of uplink data transmission in PUSCH are designed to be suitable for terrestrial radio propagation environment where the round-trip delay is usually </w:t>
      </w:r>
      <w:r w:rsidR="003539A9">
        <w:rPr>
          <w:rFonts w:cs="Arial"/>
          <w:sz w:val="20"/>
          <w:lang w:eastAsia="zh-CN"/>
        </w:rPr>
        <w:t>within</w:t>
      </w:r>
      <w:r w:rsidRPr="00A50470">
        <w:rPr>
          <w:rFonts w:cs="Arial"/>
          <w:sz w:val="20"/>
          <w:lang w:eastAsia="zh-CN"/>
        </w:rPr>
        <w:t xml:space="preserve"> 1ms.  </w:t>
      </w:r>
      <w:r w:rsidR="00E274E8">
        <w:rPr>
          <w:rFonts w:cs="Arial"/>
          <w:sz w:val="20"/>
          <w:lang w:eastAsia="zh-CN"/>
        </w:rPr>
        <w:t xml:space="preserve">However, in NTN scenarios, the large propagation delays affect the uplink transmission timing of these physical layer procedures.  </w:t>
      </w:r>
    </w:p>
    <w:p w14:paraId="0CC1C1EE" w14:textId="2284628F" w:rsidR="0049386A" w:rsidRPr="00B87044" w:rsidRDefault="00BB1C7F" w:rsidP="0049386A">
      <w:pPr>
        <w:pStyle w:val="BodyText"/>
        <w:rPr>
          <w:sz w:val="20"/>
        </w:rPr>
      </w:pPr>
      <w:r w:rsidRPr="00674D69">
        <w:rPr>
          <w:rFonts w:cs="Arial"/>
          <w:sz w:val="20"/>
          <w:szCs w:val="20"/>
        </w:rPr>
        <w:t>There are two types of timing advance (TA) mechanisms in NTN, which we refer to</w:t>
      </w:r>
      <w:r>
        <w:rPr>
          <w:rFonts w:cs="Arial"/>
          <w:sz w:val="20"/>
          <w:szCs w:val="20"/>
        </w:rPr>
        <w:t xml:space="preserve"> as</w:t>
      </w:r>
      <w:r w:rsidRPr="00674D69">
        <w:rPr>
          <w:rFonts w:cs="Arial"/>
          <w:sz w:val="20"/>
          <w:szCs w:val="20"/>
        </w:rPr>
        <w:t xml:space="preserve"> large TA and small TA. With large TA, each UE has a TA equal to its round-trip time and thus fully compensates its RTT. Accordingly, gNB DL-UL frame timings are aligned.</w:t>
      </w:r>
      <w:r w:rsidR="00691E4F">
        <w:rPr>
          <w:rFonts w:cs="Arial"/>
          <w:sz w:val="20"/>
          <w:szCs w:val="20"/>
        </w:rPr>
        <w:t xml:space="preserve">  </w:t>
      </w:r>
      <w:r w:rsidR="0049386A" w:rsidRPr="00B87044">
        <w:rPr>
          <w:sz w:val="20"/>
        </w:rPr>
        <w:t xml:space="preserve">With large TA, each UE has a TA equal to its round-trip time and thus fully compensates its RTT. This is illustrated in Figure 1. Accordingly, gNB DL-UL frame timings are aligned in the case with large TA. </w:t>
      </w:r>
    </w:p>
    <w:p w14:paraId="5CCFCDF3" w14:textId="77777777" w:rsidR="00B87044" w:rsidRPr="00B87044" w:rsidRDefault="00B87044" w:rsidP="00B87044">
      <w:pPr>
        <w:pStyle w:val="BodyText"/>
        <w:jc w:val="center"/>
        <w:rPr>
          <w:sz w:val="20"/>
        </w:rPr>
      </w:pPr>
      <w:r w:rsidRPr="00B87044">
        <w:rPr>
          <w:noProof/>
          <w:sz w:val="20"/>
        </w:rPr>
        <w:lastRenderedPageBreak/>
        <w:drawing>
          <wp:inline distT="0" distB="0" distL="0" distR="0" wp14:anchorId="0D55A29C" wp14:editId="294BFAF6">
            <wp:extent cx="5477934" cy="155002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83315" cy="1551551"/>
                    </a:xfrm>
                    <a:prstGeom prst="rect">
                      <a:avLst/>
                    </a:prstGeom>
                  </pic:spPr>
                </pic:pic>
              </a:graphicData>
            </a:graphic>
          </wp:inline>
        </w:drawing>
      </w:r>
    </w:p>
    <w:p w14:paraId="2B1CDCF6" w14:textId="3952E1D2" w:rsidR="00B87044" w:rsidRPr="00B87044" w:rsidRDefault="00B87044" w:rsidP="00B87044">
      <w:pPr>
        <w:pStyle w:val="BodyText"/>
        <w:jc w:val="center"/>
        <w:rPr>
          <w:sz w:val="20"/>
        </w:rPr>
      </w:pPr>
      <w:r w:rsidRPr="00B87044">
        <w:rPr>
          <w:sz w:val="20"/>
        </w:rPr>
        <w:t xml:space="preserve">Figure 1: An illustration of large TA compensating full RTT. </w:t>
      </w:r>
    </w:p>
    <w:p w14:paraId="36685D4B" w14:textId="310448BE" w:rsidR="00B87044" w:rsidRDefault="00B87044" w:rsidP="00BB1C7F">
      <w:pPr>
        <w:jc w:val="both"/>
        <w:rPr>
          <w:rFonts w:ascii="Arial" w:hAnsi="Arial" w:cs="Arial"/>
          <w:sz w:val="20"/>
          <w:szCs w:val="20"/>
        </w:rPr>
      </w:pPr>
    </w:p>
    <w:p w14:paraId="355CFE2A" w14:textId="06765740" w:rsidR="001A0480" w:rsidRDefault="001A0480" w:rsidP="001A0480">
      <w:pPr>
        <w:jc w:val="both"/>
        <w:rPr>
          <w:rFonts w:ascii="Arial" w:hAnsi="Arial" w:cs="Arial"/>
          <w:sz w:val="20"/>
          <w:szCs w:val="20"/>
        </w:rPr>
      </w:pPr>
      <w:r w:rsidRPr="00674D69">
        <w:rPr>
          <w:rFonts w:ascii="Arial" w:hAnsi="Arial" w:cs="Arial"/>
          <w:sz w:val="20"/>
          <w:szCs w:val="20"/>
        </w:rPr>
        <w:t>With small TA, each UE has a TA equal to its round-trip time minus a reference round-trip time, i.e., differential RTT. For example, the reference RTT can be the minimum RTT of a cell, and thus the differential RTT of any UE in the cell is always non-negative. With small TA, gNB needs to manage a DL-UL frame timing shift on the order of the reference RTT.</w:t>
      </w:r>
      <w:r>
        <w:rPr>
          <w:rFonts w:ascii="Arial" w:hAnsi="Arial" w:cs="Arial"/>
          <w:sz w:val="20"/>
          <w:szCs w:val="20"/>
        </w:rPr>
        <w:t xml:space="preserve"> In the case of the small TA</w:t>
      </w:r>
      <w:r w:rsidR="00A954A1">
        <w:rPr>
          <w:rFonts w:ascii="Arial" w:hAnsi="Arial" w:cs="Arial"/>
          <w:sz w:val="20"/>
          <w:szCs w:val="20"/>
        </w:rPr>
        <w:t>,</w:t>
      </w:r>
      <w:r>
        <w:rPr>
          <w:rFonts w:ascii="Arial" w:hAnsi="Arial" w:cs="Arial"/>
          <w:sz w:val="20"/>
          <w:szCs w:val="20"/>
        </w:rPr>
        <w:t xml:space="preserve"> it is expected that the </w:t>
      </w:r>
      <w:r w:rsidR="00E560AA">
        <w:rPr>
          <w:rFonts w:ascii="Arial" w:hAnsi="Arial" w:cs="Arial"/>
          <w:sz w:val="20"/>
          <w:szCs w:val="20"/>
        </w:rPr>
        <w:t>gNB</w:t>
      </w:r>
      <w:r>
        <w:rPr>
          <w:rFonts w:ascii="Arial" w:hAnsi="Arial" w:cs="Arial"/>
          <w:sz w:val="20"/>
          <w:szCs w:val="20"/>
        </w:rPr>
        <w:t xml:space="preserve"> broadcasts the reference RTT to the served UEs. </w:t>
      </w:r>
    </w:p>
    <w:p w14:paraId="7526ECE4" w14:textId="2E9C50FD" w:rsidR="00B87044" w:rsidRPr="00B87044" w:rsidRDefault="00B87044" w:rsidP="00B87044">
      <w:pPr>
        <w:pStyle w:val="BodyText"/>
        <w:rPr>
          <w:sz w:val="20"/>
        </w:rPr>
      </w:pPr>
      <w:r w:rsidRPr="00B87044">
        <w:rPr>
          <w:sz w:val="20"/>
        </w:rPr>
        <w:t>The maximum differential RTT depends on the cell size and may range from sub-millisecond to a few milliseconds. With small TA, gNB needs to manage a DL-UL frame timing shift on the order of the reference RTT, as illustrated in Figure 2.</w:t>
      </w:r>
    </w:p>
    <w:p w14:paraId="715AD9B1" w14:textId="77777777" w:rsidR="00B87044" w:rsidRPr="00B87044" w:rsidRDefault="00B87044" w:rsidP="00B87044">
      <w:pPr>
        <w:pStyle w:val="BodyText"/>
        <w:jc w:val="center"/>
        <w:rPr>
          <w:sz w:val="20"/>
        </w:rPr>
      </w:pPr>
      <w:r w:rsidRPr="00B87044">
        <w:rPr>
          <w:noProof/>
          <w:sz w:val="20"/>
        </w:rPr>
        <w:drawing>
          <wp:inline distT="0" distB="0" distL="0" distR="0" wp14:anchorId="4CCA1990" wp14:editId="0043846E">
            <wp:extent cx="5593057" cy="1871134"/>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00047" cy="1873473"/>
                    </a:xfrm>
                    <a:prstGeom prst="rect">
                      <a:avLst/>
                    </a:prstGeom>
                  </pic:spPr>
                </pic:pic>
              </a:graphicData>
            </a:graphic>
          </wp:inline>
        </w:drawing>
      </w:r>
    </w:p>
    <w:p w14:paraId="455E46AC" w14:textId="77777777" w:rsidR="00B87044" w:rsidRPr="00B87044" w:rsidRDefault="00B87044" w:rsidP="00B87044">
      <w:pPr>
        <w:pStyle w:val="BodyText"/>
        <w:jc w:val="center"/>
        <w:rPr>
          <w:sz w:val="20"/>
        </w:rPr>
      </w:pPr>
      <w:r w:rsidRPr="00B87044">
        <w:rPr>
          <w:sz w:val="20"/>
        </w:rPr>
        <w:t xml:space="preserve">Figure 2: An illustration of small TA compensating differential RTT. </w:t>
      </w:r>
    </w:p>
    <w:p w14:paraId="56C3DE7F" w14:textId="570C9458" w:rsidR="00B45E11" w:rsidRDefault="00E274E8" w:rsidP="00976F50">
      <w:pPr>
        <w:pStyle w:val="Heading2"/>
        <w:keepNext w:val="0"/>
        <w:keepLines w:val="0"/>
        <w:ind w:left="0" w:firstLine="0"/>
        <w:jc w:val="both"/>
        <w:rPr>
          <w:rFonts w:cs="Arial"/>
          <w:sz w:val="20"/>
          <w:lang w:eastAsia="zh-CN"/>
        </w:rPr>
      </w:pPr>
      <w:r>
        <w:rPr>
          <w:rFonts w:cs="Arial"/>
          <w:sz w:val="20"/>
          <w:lang w:eastAsia="zh-CN"/>
        </w:rPr>
        <w:t xml:space="preserve">Below, we elaborate on </w:t>
      </w:r>
      <w:r w:rsidR="00F509AD">
        <w:rPr>
          <w:rFonts w:cs="Arial"/>
          <w:sz w:val="20"/>
          <w:lang w:eastAsia="zh-CN"/>
        </w:rPr>
        <w:t xml:space="preserve">the uplink transmission timing of </w:t>
      </w:r>
      <w:r>
        <w:rPr>
          <w:rFonts w:cs="Arial"/>
          <w:sz w:val="20"/>
          <w:lang w:eastAsia="zh-CN"/>
        </w:rPr>
        <w:t>UCI and data transmission</w:t>
      </w:r>
      <w:r w:rsidR="00F509AD">
        <w:rPr>
          <w:rFonts w:cs="Arial"/>
          <w:sz w:val="20"/>
          <w:lang w:eastAsia="zh-CN"/>
        </w:rPr>
        <w:t>.</w:t>
      </w:r>
    </w:p>
    <w:p w14:paraId="54058553" w14:textId="32E12912" w:rsidR="00B45E11" w:rsidRDefault="00CE3865" w:rsidP="00AE4D1A">
      <w:pPr>
        <w:pStyle w:val="Heading2"/>
        <w:spacing w:after="120"/>
        <w:ind w:left="1138" w:hanging="1138"/>
      </w:pPr>
      <w:r>
        <w:t xml:space="preserve">2.1 </w:t>
      </w:r>
      <w:r w:rsidR="00577D77">
        <w:t>T</w:t>
      </w:r>
      <w:r w:rsidR="00A67661">
        <w:t>ransmission t</w:t>
      </w:r>
      <w:r w:rsidR="0064289B">
        <w:t xml:space="preserve">iming </w:t>
      </w:r>
      <w:r w:rsidR="00577D77">
        <w:t xml:space="preserve">of HARQ-ACK </w:t>
      </w:r>
      <w:r w:rsidR="0064289B">
        <w:t>on PUCCH</w:t>
      </w:r>
    </w:p>
    <w:p w14:paraId="3B3EF388" w14:textId="6CBA08B2" w:rsidR="000B1C7D" w:rsidRPr="00893D97" w:rsidRDefault="000B1C7D" w:rsidP="009F759F">
      <w:pPr>
        <w:pStyle w:val="BodyText"/>
        <w:spacing w:after="0"/>
        <w:rPr>
          <w:sz w:val="20"/>
          <w:szCs w:val="20"/>
        </w:rPr>
      </w:pPr>
      <w:r w:rsidRPr="00893D97">
        <w:rPr>
          <w:sz w:val="20"/>
          <w:szCs w:val="20"/>
        </w:rPr>
        <w:t>HARQ-ACK is transmitted in PUCCH</w:t>
      </w:r>
      <w:r w:rsidR="003539A9">
        <w:rPr>
          <w:sz w:val="20"/>
          <w:szCs w:val="20"/>
        </w:rPr>
        <w:t xml:space="preserve"> (if not multiplexed on PUSCH)</w:t>
      </w:r>
      <w:r w:rsidRPr="00893D97">
        <w:rPr>
          <w:sz w:val="20"/>
          <w:szCs w:val="20"/>
        </w:rPr>
        <w:t xml:space="preserve"> within slot</w:t>
      </w:r>
      <w:r w:rsidR="005B2001">
        <w:rPr>
          <w:sz w:val="20"/>
          <w:szCs w:val="20"/>
        </w:rPr>
        <w:t xml:space="preserve"> </w:t>
      </w:r>
      <m:oMath>
        <m:r>
          <w:rPr>
            <w:rFonts w:ascii="Cambria Math" w:hAnsi="Cambria Math" w:cs="Arial"/>
            <w:sz w:val="20"/>
          </w:rPr>
          <m:t>n+</m:t>
        </m:r>
        <m:sSub>
          <m:sSubPr>
            <m:ctrlPr>
              <w:rPr>
                <w:rFonts w:ascii="Cambria Math" w:hAnsi="Cambria Math" w:cs="Arial"/>
                <w:i/>
                <w:sz w:val="20"/>
              </w:rPr>
            </m:ctrlPr>
          </m:sSubPr>
          <m:e>
            <m:r>
              <w:rPr>
                <w:rFonts w:ascii="Cambria Math" w:hAnsi="Cambria Math" w:cs="Arial"/>
                <w:sz w:val="20"/>
              </w:rPr>
              <m:t>K</m:t>
            </m:r>
          </m:e>
          <m:sub>
            <m:r>
              <w:rPr>
                <w:rFonts w:ascii="Cambria Math" w:hAnsi="Cambria Math" w:cs="Arial"/>
                <w:sz w:val="20"/>
              </w:rPr>
              <m:t>1</m:t>
            </m:r>
          </m:sub>
        </m:sSub>
      </m:oMath>
      <w:r w:rsidR="005B2001">
        <w:rPr>
          <w:sz w:val="20"/>
          <w:szCs w:val="20"/>
        </w:rPr>
        <w:t xml:space="preserve"> </w:t>
      </w:r>
      <w:r w:rsidRPr="00893D97">
        <w:rPr>
          <w:sz w:val="20"/>
          <w:szCs w:val="20"/>
        </w:rPr>
        <w:t>under one of the following circumstances:</w:t>
      </w:r>
    </w:p>
    <w:p w14:paraId="79116F36" w14:textId="77777777" w:rsidR="000B1C7D" w:rsidRPr="00893D97" w:rsidRDefault="000B1C7D" w:rsidP="00CB5B63">
      <w:pPr>
        <w:pStyle w:val="BodyText"/>
        <w:keepLines/>
        <w:numPr>
          <w:ilvl w:val="0"/>
          <w:numId w:val="14"/>
        </w:numPr>
        <w:tabs>
          <w:tab w:val="left" w:pos="2552"/>
          <w:tab w:val="left" w:pos="3856"/>
          <w:tab w:val="left" w:pos="5216"/>
          <w:tab w:val="left" w:pos="6464"/>
          <w:tab w:val="left" w:pos="7768"/>
          <w:tab w:val="left" w:pos="9072"/>
          <w:tab w:val="left" w:pos="9639"/>
        </w:tabs>
        <w:spacing w:before="120" w:after="0"/>
        <w:ind w:left="835"/>
        <w:rPr>
          <w:sz w:val="20"/>
          <w:szCs w:val="20"/>
        </w:rPr>
      </w:pPr>
      <w:r w:rsidRPr="00893D97">
        <w:rPr>
          <w:sz w:val="20"/>
          <w:szCs w:val="20"/>
        </w:rPr>
        <w:t xml:space="preserve">if the UE detects a DCI (either DCI format 1_0 or DCI format 1_1) that schedules a PDSCH reception in slot </w:t>
      </w:r>
      <w:r w:rsidRPr="003B7388">
        <w:rPr>
          <w:noProof/>
          <w:position w:val="-6"/>
          <w:sz w:val="20"/>
          <w:szCs w:val="20"/>
          <w:lang w:eastAsia="en-GB"/>
        </w:rPr>
        <w:drawing>
          <wp:inline distT="0" distB="0" distL="0" distR="0" wp14:anchorId="0E7ECE15" wp14:editId="31B4C655">
            <wp:extent cx="114300" cy="1187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300" cy="118745"/>
                    </a:xfrm>
                    <a:prstGeom prst="rect">
                      <a:avLst/>
                    </a:prstGeom>
                    <a:noFill/>
                    <a:ln>
                      <a:noFill/>
                    </a:ln>
                  </pic:spPr>
                </pic:pic>
              </a:graphicData>
            </a:graphic>
          </wp:inline>
        </w:drawing>
      </w:r>
    </w:p>
    <w:p w14:paraId="2CE45D69" w14:textId="77777777" w:rsidR="000B1C7D" w:rsidRPr="00893D97" w:rsidRDefault="000B1C7D" w:rsidP="00CB5B63">
      <w:pPr>
        <w:pStyle w:val="BodyText"/>
        <w:keepLines/>
        <w:numPr>
          <w:ilvl w:val="0"/>
          <w:numId w:val="14"/>
        </w:numPr>
        <w:tabs>
          <w:tab w:val="left" w:pos="2552"/>
          <w:tab w:val="left" w:pos="3856"/>
          <w:tab w:val="left" w:pos="5216"/>
          <w:tab w:val="left" w:pos="6464"/>
          <w:tab w:val="left" w:pos="7768"/>
          <w:tab w:val="left" w:pos="9072"/>
          <w:tab w:val="left" w:pos="9639"/>
        </w:tabs>
        <w:spacing w:before="120"/>
        <w:ind w:left="835"/>
        <w:rPr>
          <w:sz w:val="20"/>
          <w:szCs w:val="20"/>
        </w:rPr>
      </w:pPr>
      <w:r w:rsidRPr="00893D97">
        <w:rPr>
          <w:sz w:val="20"/>
          <w:szCs w:val="20"/>
        </w:rPr>
        <w:t xml:space="preserve">if the UE detects a DCI (DCI format 1_0) that indicates SPS PDSCH release with a PDCCH received in slot </w:t>
      </w:r>
      <w:r w:rsidRPr="003B7388">
        <w:rPr>
          <w:noProof/>
          <w:position w:val="-6"/>
          <w:sz w:val="20"/>
          <w:szCs w:val="20"/>
          <w:lang w:eastAsia="en-GB"/>
        </w:rPr>
        <w:drawing>
          <wp:inline distT="0" distB="0" distL="0" distR="0" wp14:anchorId="7F298863" wp14:editId="7762322D">
            <wp:extent cx="114300" cy="1187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300" cy="118745"/>
                    </a:xfrm>
                    <a:prstGeom prst="rect">
                      <a:avLst/>
                    </a:prstGeom>
                    <a:noFill/>
                    <a:ln>
                      <a:noFill/>
                    </a:ln>
                  </pic:spPr>
                </pic:pic>
              </a:graphicData>
            </a:graphic>
          </wp:inline>
        </w:drawing>
      </w:r>
    </w:p>
    <w:p w14:paraId="00D613CD" w14:textId="5574D1FA" w:rsidR="00FE025E" w:rsidRDefault="000B1C7D" w:rsidP="00FE025E">
      <w:pPr>
        <w:pStyle w:val="BodyText"/>
        <w:rPr>
          <w:sz w:val="20"/>
          <w:szCs w:val="20"/>
        </w:rPr>
      </w:pPr>
      <w:r w:rsidRPr="00893D97">
        <w:rPr>
          <w:sz w:val="20"/>
          <w:szCs w:val="20"/>
        </w:rPr>
        <w:t>The value of</w:t>
      </w:r>
      <w:r w:rsidR="005B2001">
        <w:rPr>
          <w:sz w:val="20"/>
          <w:szCs w:val="20"/>
        </w:rPr>
        <w:t xml:space="preserve"> </w:t>
      </w:r>
      <m:oMath>
        <m:sSub>
          <m:sSubPr>
            <m:ctrlPr>
              <w:rPr>
                <w:rFonts w:ascii="Cambria Math" w:hAnsi="Cambria Math" w:cs="Arial"/>
                <w:i/>
                <w:sz w:val="20"/>
              </w:rPr>
            </m:ctrlPr>
          </m:sSubPr>
          <m:e>
            <m:r>
              <w:rPr>
                <w:rFonts w:ascii="Cambria Math" w:hAnsi="Cambria Math" w:cs="Arial"/>
                <w:sz w:val="20"/>
              </w:rPr>
              <m:t>K</m:t>
            </m:r>
          </m:e>
          <m:sub>
            <m:r>
              <w:rPr>
                <w:rFonts w:ascii="Cambria Math" w:hAnsi="Cambria Math" w:cs="Arial"/>
                <w:sz w:val="20"/>
              </w:rPr>
              <m:t>1</m:t>
            </m:r>
          </m:sub>
        </m:sSub>
      </m:oMath>
      <w:r w:rsidR="005B2001">
        <w:rPr>
          <w:sz w:val="20"/>
          <w:szCs w:val="20"/>
        </w:rPr>
        <w:t xml:space="preserve"> </w:t>
      </w:r>
      <w:r w:rsidRPr="00893D97">
        <w:rPr>
          <w:sz w:val="20"/>
          <w:szCs w:val="20"/>
        </w:rPr>
        <w:t xml:space="preserve">which is given in </w:t>
      </w:r>
      <w:proofErr w:type="gramStart"/>
      <w:r w:rsidRPr="00893D97">
        <w:rPr>
          <w:sz w:val="20"/>
          <w:szCs w:val="20"/>
        </w:rPr>
        <w:t>a number of</w:t>
      </w:r>
      <w:proofErr w:type="gramEnd"/>
      <w:r w:rsidRPr="00893D97">
        <w:rPr>
          <w:sz w:val="20"/>
          <w:szCs w:val="20"/>
        </w:rPr>
        <w:t xml:space="preserve"> slots</w:t>
      </w:r>
      <w:r w:rsidR="003539A9">
        <w:rPr>
          <w:sz w:val="20"/>
          <w:szCs w:val="20"/>
        </w:rPr>
        <w:t>,</w:t>
      </w:r>
      <w:r w:rsidRPr="00893D97">
        <w:rPr>
          <w:sz w:val="20"/>
          <w:szCs w:val="20"/>
        </w:rPr>
        <w:t xml:space="preserve"> is indicated by the </w:t>
      </w:r>
      <w:r w:rsidRPr="00893D97">
        <w:rPr>
          <w:i/>
          <w:sz w:val="20"/>
          <w:szCs w:val="20"/>
        </w:rPr>
        <w:t>PDSCH-to-HARQ-timing-indicator</w:t>
      </w:r>
      <w:r w:rsidRPr="00893D97">
        <w:rPr>
          <w:sz w:val="20"/>
          <w:szCs w:val="20"/>
        </w:rPr>
        <w:t xml:space="preserve"> field in DCI (if the field is present) or is provided by the higher layer parameter </w:t>
      </w:r>
      <w:r w:rsidRPr="00893D97">
        <w:rPr>
          <w:i/>
          <w:sz w:val="20"/>
          <w:szCs w:val="20"/>
        </w:rPr>
        <w:t>dl-</w:t>
      </w:r>
      <w:proofErr w:type="spellStart"/>
      <w:r w:rsidRPr="00893D97">
        <w:rPr>
          <w:i/>
          <w:sz w:val="20"/>
          <w:szCs w:val="20"/>
        </w:rPr>
        <w:t>DataToUL</w:t>
      </w:r>
      <w:proofErr w:type="spellEnd"/>
      <w:r w:rsidRPr="00893D97">
        <w:rPr>
          <w:i/>
          <w:sz w:val="20"/>
          <w:szCs w:val="20"/>
        </w:rPr>
        <w:t>-ACK</w:t>
      </w:r>
      <w:r w:rsidRPr="00893D97">
        <w:rPr>
          <w:sz w:val="20"/>
          <w:szCs w:val="20"/>
        </w:rPr>
        <w:t>.</w:t>
      </w:r>
      <w:r w:rsidR="003D1297" w:rsidRPr="00893D97">
        <w:rPr>
          <w:sz w:val="20"/>
          <w:szCs w:val="20"/>
        </w:rPr>
        <w:t xml:space="preserve">  In the NTN scenarios, </w:t>
      </w:r>
      <w:r w:rsidR="00263E22">
        <w:rPr>
          <w:sz w:val="20"/>
          <w:szCs w:val="20"/>
        </w:rPr>
        <w:t xml:space="preserve">which slot a </w:t>
      </w:r>
      <w:r w:rsidR="003D1297" w:rsidRPr="00893D97">
        <w:rPr>
          <w:sz w:val="20"/>
          <w:szCs w:val="20"/>
        </w:rPr>
        <w:t xml:space="preserve">HARQ-ACK </w:t>
      </w:r>
      <w:r w:rsidR="00263E22">
        <w:rPr>
          <w:sz w:val="20"/>
          <w:szCs w:val="20"/>
        </w:rPr>
        <w:t xml:space="preserve">is </w:t>
      </w:r>
      <w:r w:rsidR="003D1297" w:rsidRPr="00893D97">
        <w:rPr>
          <w:sz w:val="20"/>
          <w:szCs w:val="20"/>
        </w:rPr>
        <w:t xml:space="preserve">transmitted by the UE </w:t>
      </w:r>
      <w:r w:rsidR="00263E22">
        <w:rPr>
          <w:sz w:val="20"/>
          <w:szCs w:val="20"/>
        </w:rPr>
        <w:t>will depend on whether small TA or large TA is used</w:t>
      </w:r>
      <w:r w:rsidR="003D1297" w:rsidRPr="00893D97">
        <w:rPr>
          <w:sz w:val="20"/>
          <w:szCs w:val="20"/>
        </w:rPr>
        <w:t xml:space="preserve">.  </w:t>
      </w:r>
      <w:r w:rsidR="00263E22">
        <w:rPr>
          <w:sz w:val="20"/>
          <w:szCs w:val="20"/>
        </w:rPr>
        <w:t>Figure 3 shows an illustration of HARQ-ACK transmission timing in an NTN scenario</w:t>
      </w:r>
      <w:r w:rsidR="006F3D5F">
        <w:rPr>
          <w:sz w:val="20"/>
          <w:szCs w:val="20"/>
        </w:rPr>
        <w:t xml:space="preserve">, where it is seen that the </w:t>
      </w:r>
      <w:r w:rsidR="000E6AB3">
        <w:rPr>
          <w:sz w:val="20"/>
          <w:szCs w:val="20"/>
        </w:rPr>
        <w:t xml:space="preserve">NTN delay impacts the PUCCH HARQ-ACK </w:t>
      </w:r>
      <w:r w:rsidR="00CD292B">
        <w:rPr>
          <w:sz w:val="20"/>
          <w:szCs w:val="20"/>
        </w:rPr>
        <w:t>transmission timing</w:t>
      </w:r>
      <w:r w:rsidR="00263E22">
        <w:rPr>
          <w:sz w:val="20"/>
          <w:szCs w:val="20"/>
        </w:rPr>
        <w:t>.</w:t>
      </w:r>
      <w:r w:rsidR="00896E41">
        <w:rPr>
          <w:sz w:val="20"/>
          <w:szCs w:val="20"/>
        </w:rPr>
        <w:t xml:space="preserve"> </w:t>
      </w:r>
      <w:r w:rsidR="00FE025E">
        <w:rPr>
          <w:sz w:val="20"/>
          <w:szCs w:val="20"/>
        </w:rPr>
        <w:fldChar w:fldCharType="begin"/>
      </w:r>
      <w:r w:rsidR="00FE025E">
        <w:rPr>
          <w:sz w:val="20"/>
          <w:szCs w:val="20"/>
        </w:rPr>
        <w:instrText xml:space="preserve"> REF _Ref16597917 \h </w:instrText>
      </w:r>
      <w:r w:rsidR="00FE025E">
        <w:rPr>
          <w:sz w:val="20"/>
          <w:szCs w:val="20"/>
        </w:rPr>
      </w:r>
      <w:r w:rsidR="00FE025E">
        <w:rPr>
          <w:sz w:val="20"/>
          <w:szCs w:val="20"/>
        </w:rPr>
        <w:fldChar w:fldCharType="separate"/>
      </w:r>
      <w:r w:rsidR="00527356">
        <w:t xml:space="preserve">Table </w:t>
      </w:r>
      <w:r w:rsidR="00527356">
        <w:rPr>
          <w:noProof/>
        </w:rPr>
        <w:t>1</w:t>
      </w:r>
      <w:r w:rsidR="00FE025E">
        <w:rPr>
          <w:sz w:val="20"/>
          <w:szCs w:val="20"/>
        </w:rPr>
        <w:fldChar w:fldCharType="end"/>
      </w:r>
      <w:r w:rsidR="00FE025E">
        <w:rPr>
          <w:sz w:val="20"/>
          <w:szCs w:val="20"/>
        </w:rPr>
        <w:t xml:space="preserve"> presents the usable </w:t>
      </w:r>
      <m:oMath>
        <m:sSub>
          <m:sSubPr>
            <m:ctrlPr>
              <w:rPr>
                <w:rFonts w:ascii="Cambria Math" w:hAnsi="Cambria Math" w:cs="Arial"/>
                <w:i/>
                <w:sz w:val="20"/>
              </w:rPr>
            </m:ctrlPr>
          </m:sSubPr>
          <m:e>
            <m:r>
              <w:rPr>
                <w:rFonts w:ascii="Cambria Math" w:hAnsi="Cambria Math" w:cs="Arial"/>
                <w:sz w:val="20"/>
              </w:rPr>
              <m:t>K</m:t>
            </m:r>
          </m:e>
          <m:sub>
            <m:r>
              <w:rPr>
                <w:rFonts w:ascii="Cambria Math" w:hAnsi="Cambria Math" w:cs="Arial"/>
                <w:sz w:val="20"/>
              </w:rPr>
              <m:t>1</m:t>
            </m:r>
          </m:sub>
        </m:sSub>
      </m:oMath>
      <w:r w:rsidR="00FE025E">
        <w:rPr>
          <w:sz w:val="20"/>
          <w:szCs w:val="20"/>
        </w:rPr>
        <w:t xml:space="preserve"> range for </w:t>
      </w:r>
      <w:r w:rsidR="00C177B9">
        <w:rPr>
          <w:sz w:val="20"/>
          <w:szCs w:val="20"/>
        </w:rPr>
        <w:t xml:space="preserve">HARQ transmission </w:t>
      </w:r>
      <w:r w:rsidR="00531CA4">
        <w:rPr>
          <w:sz w:val="20"/>
          <w:szCs w:val="20"/>
        </w:rPr>
        <w:t>on</w:t>
      </w:r>
      <w:r w:rsidR="00FE025E">
        <w:rPr>
          <w:sz w:val="20"/>
          <w:szCs w:val="20"/>
        </w:rPr>
        <w:t xml:space="preserve"> PUCCH for the two scenarios of small and large TA compensation.  The entries in red-font indicate the following cases:</w:t>
      </w:r>
    </w:p>
    <w:p w14:paraId="2FC2422A" w14:textId="47CB8E54" w:rsidR="00FE025E" w:rsidRDefault="00FE025E" w:rsidP="00FE025E">
      <w:pPr>
        <w:pStyle w:val="BodyText"/>
        <w:numPr>
          <w:ilvl w:val="0"/>
          <w:numId w:val="19"/>
        </w:numPr>
        <w:rPr>
          <w:sz w:val="20"/>
          <w:szCs w:val="20"/>
        </w:rPr>
      </w:pPr>
      <w:r>
        <w:rPr>
          <w:sz w:val="20"/>
          <w:szCs w:val="20"/>
        </w:rPr>
        <w:lastRenderedPageBreak/>
        <w:t xml:space="preserve">Only a small fraction of the current range of </w:t>
      </w:r>
      <m:oMath>
        <m:sSub>
          <m:sSubPr>
            <m:ctrlPr>
              <w:rPr>
                <w:rFonts w:ascii="Cambria Math" w:hAnsi="Cambria Math" w:cs="Arial"/>
                <w:i/>
                <w:sz w:val="20"/>
              </w:rPr>
            </m:ctrlPr>
          </m:sSubPr>
          <m:e>
            <m:r>
              <w:rPr>
                <w:rFonts w:ascii="Cambria Math" w:hAnsi="Cambria Math" w:cs="Arial"/>
                <w:sz w:val="20"/>
              </w:rPr>
              <m:t>K</m:t>
            </m:r>
          </m:e>
          <m:sub>
            <m:r>
              <w:rPr>
                <w:rFonts w:ascii="Cambria Math" w:hAnsi="Cambria Math" w:cs="Arial"/>
                <w:sz w:val="20"/>
              </w:rPr>
              <m:t>1</m:t>
            </m:r>
          </m:sub>
        </m:sSub>
      </m:oMath>
      <w:r>
        <w:rPr>
          <w:sz w:val="20"/>
          <w:szCs w:val="20"/>
        </w:rPr>
        <w:t xml:space="preserve"> </w:t>
      </w:r>
      <w:r w:rsidR="00E567F4">
        <w:rPr>
          <w:sz w:val="20"/>
          <w:szCs w:val="20"/>
        </w:rPr>
        <w:t xml:space="preserve">values </w:t>
      </w:r>
      <w:r>
        <w:rPr>
          <w:sz w:val="20"/>
          <w:szCs w:val="20"/>
        </w:rPr>
        <w:t xml:space="preserve">is usable; for example, the </w:t>
      </w:r>
      <m:oMath>
        <m:sSub>
          <m:sSubPr>
            <m:ctrlPr>
              <w:rPr>
                <w:rFonts w:ascii="Cambria Math" w:hAnsi="Cambria Math" w:cs="Arial"/>
                <w:i/>
                <w:sz w:val="20"/>
              </w:rPr>
            </m:ctrlPr>
          </m:sSubPr>
          <m:e>
            <m:r>
              <w:rPr>
                <w:rFonts w:ascii="Cambria Math" w:hAnsi="Cambria Math" w:cs="Arial"/>
                <w:sz w:val="20"/>
              </w:rPr>
              <m:t>K</m:t>
            </m:r>
          </m:e>
          <m:sub>
            <m:r>
              <w:rPr>
                <w:rFonts w:ascii="Cambria Math" w:hAnsi="Cambria Math" w:cs="Arial"/>
                <w:sz w:val="20"/>
              </w:rPr>
              <m:t>1</m:t>
            </m:r>
          </m:sub>
        </m:sSub>
      </m:oMath>
      <w:r>
        <w:rPr>
          <w:sz w:val="20"/>
          <w:szCs w:val="20"/>
        </w:rPr>
        <w:t xml:space="preserve"> range for DCI format 1_0 at 60 kHz numerology with small TA where only the values of 7 and 8 are usable.</w:t>
      </w:r>
    </w:p>
    <w:p w14:paraId="4A7122EB" w14:textId="12A5FF73" w:rsidR="00FE025E" w:rsidRDefault="00FE025E" w:rsidP="00FE025E">
      <w:pPr>
        <w:pStyle w:val="BodyText"/>
        <w:numPr>
          <w:ilvl w:val="0"/>
          <w:numId w:val="19"/>
        </w:numPr>
        <w:rPr>
          <w:sz w:val="20"/>
          <w:szCs w:val="20"/>
        </w:rPr>
      </w:pPr>
      <w:r>
        <w:rPr>
          <w:sz w:val="20"/>
          <w:szCs w:val="20"/>
        </w:rPr>
        <w:t xml:space="preserve">None of the current range of </w:t>
      </w:r>
      <m:oMath>
        <m:sSub>
          <m:sSubPr>
            <m:ctrlPr>
              <w:rPr>
                <w:rFonts w:ascii="Cambria Math" w:hAnsi="Cambria Math" w:cs="Arial"/>
                <w:i/>
                <w:sz w:val="20"/>
              </w:rPr>
            </m:ctrlPr>
          </m:sSubPr>
          <m:e>
            <m:r>
              <w:rPr>
                <w:rFonts w:ascii="Cambria Math" w:hAnsi="Cambria Math" w:cs="Arial"/>
                <w:sz w:val="20"/>
              </w:rPr>
              <m:t>K</m:t>
            </m:r>
          </m:e>
          <m:sub>
            <m:r>
              <w:rPr>
                <w:rFonts w:ascii="Cambria Math" w:hAnsi="Cambria Math" w:cs="Arial"/>
                <w:sz w:val="20"/>
              </w:rPr>
              <m:t>1</m:t>
            </m:r>
          </m:sub>
        </m:sSub>
      </m:oMath>
      <w:r w:rsidR="00E567F4">
        <w:rPr>
          <w:rFonts w:eastAsiaTheme="minorEastAsia"/>
          <w:sz w:val="20"/>
        </w:rPr>
        <w:t xml:space="preserve"> values </w:t>
      </w:r>
      <w:proofErr w:type="gramStart"/>
      <w:r w:rsidR="00E567F4">
        <w:rPr>
          <w:rFonts w:eastAsiaTheme="minorEastAsia"/>
          <w:sz w:val="20"/>
        </w:rPr>
        <w:t>is</w:t>
      </w:r>
      <w:proofErr w:type="gramEnd"/>
      <w:r w:rsidR="00E567F4">
        <w:rPr>
          <w:rFonts w:eastAsiaTheme="minorEastAsia"/>
          <w:sz w:val="20"/>
        </w:rPr>
        <w:t xml:space="preserve"> usable; this is the case for all entries corresponding to large TA.</w:t>
      </w:r>
    </w:p>
    <w:p w14:paraId="425E4032" w14:textId="7DA85316" w:rsidR="003D1297" w:rsidRDefault="00E567F4" w:rsidP="000B1C7D">
      <w:pPr>
        <w:pStyle w:val="BodyText"/>
        <w:rPr>
          <w:sz w:val="20"/>
          <w:szCs w:val="20"/>
        </w:rPr>
      </w:pPr>
      <w:r>
        <w:rPr>
          <w:sz w:val="20"/>
          <w:szCs w:val="20"/>
        </w:rPr>
        <w:t xml:space="preserve">Given that the current range of </w:t>
      </w:r>
      <m:oMath>
        <m:sSub>
          <m:sSubPr>
            <m:ctrlPr>
              <w:rPr>
                <w:rFonts w:ascii="Cambria Math" w:hAnsi="Cambria Math" w:cs="Arial"/>
                <w:i/>
                <w:sz w:val="20"/>
              </w:rPr>
            </m:ctrlPr>
          </m:sSubPr>
          <m:e>
            <m:r>
              <w:rPr>
                <w:rFonts w:ascii="Cambria Math" w:hAnsi="Cambria Math" w:cs="Arial"/>
                <w:sz w:val="20"/>
              </w:rPr>
              <m:t>K</m:t>
            </m:r>
          </m:e>
          <m:sub>
            <m:r>
              <w:rPr>
                <w:rFonts w:ascii="Cambria Math" w:hAnsi="Cambria Math" w:cs="Arial"/>
                <w:sz w:val="20"/>
              </w:rPr>
              <m:t>1</m:t>
            </m:r>
          </m:sub>
        </m:sSub>
      </m:oMath>
      <w:r>
        <w:rPr>
          <w:rFonts w:eastAsiaTheme="minorEastAsia"/>
          <w:sz w:val="20"/>
        </w:rPr>
        <w:t xml:space="preserve"> values</w:t>
      </w:r>
      <w:r w:rsidR="007C0B91">
        <w:rPr>
          <w:rFonts w:eastAsiaTheme="minorEastAsia"/>
          <w:sz w:val="20"/>
        </w:rPr>
        <w:t xml:space="preserve"> </w:t>
      </w:r>
      <w:r w:rsidR="00AA3A33">
        <w:rPr>
          <w:rFonts w:eastAsiaTheme="minorEastAsia"/>
          <w:sz w:val="20"/>
        </w:rPr>
        <w:t xml:space="preserve">is </w:t>
      </w:r>
      <w:r w:rsidR="007C0B91">
        <w:rPr>
          <w:rFonts w:eastAsiaTheme="minorEastAsia"/>
          <w:sz w:val="20"/>
        </w:rPr>
        <w:t xml:space="preserve">not </w:t>
      </w:r>
      <w:proofErr w:type="gramStart"/>
      <w:r w:rsidR="007C0B91">
        <w:rPr>
          <w:rFonts w:eastAsiaTheme="minorEastAsia"/>
          <w:sz w:val="20"/>
        </w:rPr>
        <w:t>sufficient</w:t>
      </w:r>
      <w:proofErr w:type="gramEnd"/>
      <w:r w:rsidR="007C0B91">
        <w:rPr>
          <w:rFonts w:eastAsiaTheme="minorEastAsia"/>
          <w:sz w:val="20"/>
        </w:rPr>
        <w:t xml:space="preserve"> for</w:t>
      </w:r>
      <w:r w:rsidR="003B099B">
        <w:rPr>
          <w:rFonts w:eastAsiaTheme="minorEastAsia"/>
          <w:sz w:val="20"/>
        </w:rPr>
        <w:t xml:space="preserve"> NTN scenarios with small TA and large TA, we can consider extending the range of </w:t>
      </w:r>
      <m:oMath>
        <m:sSub>
          <m:sSubPr>
            <m:ctrlPr>
              <w:rPr>
                <w:rFonts w:ascii="Cambria Math" w:hAnsi="Cambria Math" w:cs="Arial"/>
                <w:i/>
                <w:sz w:val="20"/>
              </w:rPr>
            </m:ctrlPr>
          </m:sSubPr>
          <m:e>
            <m:r>
              <w:rPr>
                <w:rFonts w:ascii="Cambria Math" w:hAnsi="Cambria Math" w:cs="Arial"/>
                <w:sz w:val="20"/>
              </w:rPr>
              <m:t>K</m:t>
            </m:r>
          </m:e>
          <m:sub>
            <m:r>
              <w:rPr>
                <w:rFonts w:ascii="Cambria Math" w:hAnsi="Cambria Math" w:cs="Arial"/>
                <w:sz w:val="20"/>
              </w:rPr>
              <m:t>1</m:t>
            </m:r>
          </m:sub>
        </m:sSub>
      </m:oMath>
      <w:r w:rsidR="003B099B">
        <w:rPr>
          <w:rFonts w:eastAsiaTheme="minorEastAsia"/>
          <w:sz w:val="20"/>
        </w:rPr>
        <w:t xml:space="preserve"> values</w:t>
      </w:r>
      <w:r w:rsidR="00393746">
        <w:rPr>
          <w:rFonts w:eastAsiaTheme="minorEastAsia"/>
          <w:sz w:val="20"/>
        </w:rPr>
        <w:t>.</w:t>
      </w:r>
      <w:r w:rsidR="00E518C1">
        <w:rPr>
          <w:rFonts w:eastAsiaTheme="minorEastAsia"/>
          <w:sz w:val="20"/>
        </w:rPr>
        <w:t xml:space="preserve">  This can be done by either extending the range of </w:t>
      </w:r>
      <m:oMath>
        <m:sSub>
          <m:sSubPr>
            <m:ctrlPr>
              <w:rPr>
                <w:rFonts w:ascii="Cambria Math" w:hAnsi="Cambria Math" w:cs="Arial"/>
                <w:i/>
                <w:sz w:val="20"/>
              </w:rPr>
            </m:ctrlPr>
          </m:sSubPr>
          <m:e>
            <m:r>
              <w:rPr>
                <w:rFonts w:ascii="Cambria Math" w:hAnsi="Cambria Math" w:cs="Arial"/>
                <w:sz w:val="20"/>
              </w:rPr>
              <m:t>K</m:t>
            </m:r>
          </m:e>
          <m:sub>
            <m:r>
              <w:rPr>
                <w:rFonts w:ascii="Cambria Math" w:hAnsi="Cambria Math" w:cs="Arial"/>
                <w:sz w:val="20"/>
              </w:rPr>
              <m:t>1</m:t>
            </m:r>
          </m:sub>
        </m:sSub>
      </m:oMath>
      <w:r w:rsidR="00E518C1">
        <w:rPr>
          <w:rFonts w:eastAsiaTheme="minorEastAsia"/>
          <w:sz w:val="20"/>
        </w:rPr>
        <w:t xml:space="preserve"> values or </w:t>
      </w:r>
      <w:r w:rsidR="00AC4FC0">
        <w:rPr>
          <w:rFonts w:eastAsiaTheme="minorEastAsia"/>
          <w:sz w:val="20"/>
        </w:rPr>
        <w:t xml:space="preserve">introducing a configurable offset </w:t>
      </w:r>
      <w:r w:rsidR="002E108D">
        <w:rPr>
          <w:rFonts w:eastAsiaTheme="minorEastAsia"/>
          <w:sz w:val="20"/>
        </w:rPr>
        <w:t xml:space="preserve">for HARQ-ACK transmission timing which can be added to </w:t>
      </w:r>
      <m:oMath>
        <m:sSub>
          <m:sSubPr>
            <m:ctrlPr>
              <w:rPr>
                <w:rFonts w:ascii="Cambria Math" w:hAnsi="Cambria Math" w:cs="Arial"/>
                <w:i/>
                <w:sz w:val="20"/>
              </w:rPr>
            </m:ctrlPr>
          </m:sSubPr>
          <m:e>
            <m:r>
              <w:rPr>
                <w:rFonts w:ascii="Cambria Math" w:hAnsi="Cambria Math" w:cs="Arial"/>
                <w:sz w:val="20"/>
              </w:rPr>
              <m:t>K</m:t>
            </m:r>
          </m:e>
          <m:sub>
            <m:r>
              <w:rPr>
                <w:rFonts w:ascii="Cambria Math" w:hAnsi="Cambria Math" w:cs="Arial"/>
                <w:sz w:val="20"/>
              </w:rPr>
              <m:t>1</m:t>
            </m:r>
          </m:sub>
        </m:sSub>
      </m:oMath>
      <w:r w:rsidR="002E108D">
        <w:rPr>
          <w:rFonts w:eastAsiaTheme="minorEastAsia"/>
          <w:sz w:val="20"/>
        </w:rPr>
        <w:t>.  Hence, we make the following proposal:</w:t>
      </w:r>
    </w:p>
    <w:p w14:paraId="269FA3DE" w14:textId="62214A22" w:rsidR="00E567F4" w:rsidRDefault="00E567F4" w:rsidP="00E567F4">
      <w:pPr>
        <w:pStyle w:val="BodyText"/>
        <w:rPr>
          <w:b/>
          <w:i/>
          <w:sz w:val="20"/>
          <w:szCs w:val="20"/>
        </w:rPr>
      </w:pPr>
      <w:r w:rsidRPr="00613726">
        <w:rPr>
          <w:b/>
          <w:i/>
          <w:sz w:val="20"/>
          <w:szCs w:val="20"/>
        </w:rPr>
        <w:t xml:space="preserve">Proposal </w:t>
      </w:r>
      <w:r w:rsidR="00FB1C5E" w:rsidRPr="00613726">
        <w:rPr>
          <w:b/>
          <w:i/>
          <w:sz w:val="20"/>
          <w:szCs w:val="20"/>
        </w:rPr>
        <w:t>1</w:t>
      </w:r>
      <w:r w:rsidRPr="00613726">
        <w:rPr>
          <w:b/>
          <w:i/>
          <w:sz w:val="20"/>
          <w:szCs w:val="20"/>
        </w:rPr>
        <w:t>:  For HARQ-ACK transmission timing with small TA and large TA, either extend the range of K</w:t>
      </w:r>
      <w:r w:rsidRPr="00613726">
        <w:rPr>
          <w:b/>
          <w:i/>
          <w:sz w:val="20"/>
          <w:szCs w:val="20"/>
          <w:vertAlign w:val="subscript"/>
        </w:rPr>
        <w:t>1</w:t>
      </w:r>
      <w:r w:rsidRPr="00613726">
        <w:rPr>
          <w:b/>
          <w:i/>
          <w:sz w:val="20"/>
          <w:szCs w:val="20"/>
        </w:rPr>
        <w:t xml:space="preserve"> values or introduce a configurable offset to compensate for differential RTT and full RTT, respectively.</w:t>
      </w:r>
    </w:p>
    <w:p w14:paraId="0C61C091" w14:textId="77777777" w:rsidR="00E567F4" w:rsidRDefault="00E567F4" w:rsidP="000B1C7D">
      <w:pPr>
        <w:pStyle w:val="BodyText"/>
        <w:rPr>
          <w:sz w:val="20"/>
          <w:szCs w:val="20"/>
        </w:rPr>
      </w:pPr>
    </w:p>
    <w:p w14:paraId="620375F6" w14:textId="667738D6" w:rsidR="00263E22" w:rsidRDefault="00263E22" w:rsidP="00263E22">
      <w:pPr>
        <w:pStyle w:val="BodyText"/>
        <w:jc w:val="center"/>
        <w:rPr>
          <w:sz w:val="20"/>
          <w:szCs w:val="20"/>
        </w:rPr>
      </w:pPr>
      <w:r>
        <w:rPr>
          <w:noProof/>
        </w:rPr>
        <w:drawing>
          <wp:inline distT="0" distB="0" distL="0" distR="0" wp14:anchorId="3E6EED0B" wp14:editId="52D20BFE">
            <wp:extent cx="4572000" cy="1991683"/>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72000" cy="1991683"/>
                    </a:xfrm>
                    <a:prstGeom prst="rect">
                      <a:avLst/>
                    </a:prstGeom>
                  </pic:spPr>
                </pic:pic>
              </a:graphicData>
            </a:graphic>
          </wp:inline>
        </w:drawing>
      </w:r>
    </w:p>
    <w:p w14:paraId="7E32871D" w14:textId="7160206F" w:rsidR="00527356" w:rsidRDefault="00263E22" w:rsidP="004E5DA6">
      <w:pPr>
        <w:pStyle w:val="BodyText"/>
        <w:jc w:val="center"/>
        <w:rPr>
          <w:sz w:val="20"/>
        </w:rPr>
      </w:pPr>
      <w:r w:rsidRPr="00B87044">
        <w:rPr>
          <w:sz w:val="20"/>
        </w:rPr>
        <w:t xml:space="preserve">Figure </w:t>
      </w:r>
      <w:r>
        <w:rPr>
          <w:sz w:val="20"/>
        </w:rPr>
        <w:t>3</w:t>
      </w:r>
      <w:r w:rsidRPr="00B87044">
        <w:rPr>
          <w:sz w:val="20"/>
        </w:rPr>
        <w:t xml:space="preserve">: </w:t>
      </w:r>
      <w:r>
        <w:rPr>
          <w:sz w:val="20"/>
        </w:rPr>
        <w:t>HARQ-ACK transmission in NTN scenario</w:t>
      </w:r>
      <w:r w:rsidRPr="00B87044">
        <w:rPr>
          <w:sz w:val="20"/>
        </w:rPr>
        <w:t>.</w:t>
      </w:r>
    </w:p>
    <w:p w14:paraId="66DB6A95" w14:textId="6EA73175" w:rsidR="00263E22" w:rsidRDefault="00263E22" w:rsidP="00263E22">
      <w:pPr>
        <w:pStyle w:val="BodyText"/>
        <w:jc w:val="center"/>
        <w:rPr>
          <w:sz w:val="20"/>
        </w:rPr>
      </w:pPr>
    </w:p>
    <w:p w14:paraId="584D7DA0" w14:textId="35EAB332" w:rsidR="00427E1F" w:rsidRDefault="00427E1F" w:rsidP="00613726">
      <w:pPr>
        <w:pStyle w:val="Caption"/>
        <w:keepNext/>
        <w:jc w:val="center"/>
      </w:pPr>
      <w:bookmarkStart w:id="2" w:name="_Ref16597917"/>
      <w:r>
        <w:t xml:space="preserve">Table </w:t>
      </w:r>
      <w:r w:rsidR="004E5DA6">
        <w:fldChar w:fldCharType="begin"/>
      </w:r>
      <w:r w:rsidR="004E5DA6">
        <w:instrText xml:space="preserve"> SEQ Table \* ARABIC </w:instrText>
      </w:r>
      <w:r w:rsidR="004E5DA6">
        <w:fldChar w:fldCharType="separate"/>
      </w:r>
      <w:r w:rsidR="00527356">
        <w:rPr>
          <w:noProof/>
        </w:rPr>
        <w:t>1</w:t>
      </w:r>
      <w:r w:rsidR="004E5DA6">
        <w:rPr>
          <w:noProof/>
        </w:rPr>
        <w:fldChar w:fldCharType="end"/>
      </w:r>
      <w:bookmarkEnd w:id="2"/>
      <w:r>
        <w:t xml:space="preserve"> Usable K</w:t>
      </w:r>
      <w:r w:rsidRPr="00613726">
        <w:rPr>
          <w:vertAlign w:val="subscript"/>
        </w:rPr>
        <w:t>1</w:t>
      </w:r>
      <w:r>
        <w:t xml:space="preserve"> range for </w:t>
      </w:r>
      <w:r w:rsidR="00657C88">
        <w:t xml:space="preserve">transmission timing of HARQ-ACK on </w:t>
      </w:r>
      <w:r>
        <w:t>PUCCH.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595"/>
        <w:gridCol w:w="1256"/>
        <w:gridCol w:w="1926"/>
        <w:gridCol w:w="1926"/>
        <w:gridCol w:w="1926"/>
      </w:tblGrid>
      <w:tr w:rsidR="00263E22" w:rsidRPr="00BC36CB" w14:paraId="3603ED62" w14:textId="77777777" w:rsidTr="00613726">
        <w:trPr>
          <w:trHeight w:val="469"/>
        </w:trPr>
        <w:tc>
          <w:tcPr>
            <w:tcW w:w="1347" w:type="pct"/>
            <w:shd w:val="clear" w:color="auto" w:fill="auto"/>
            <w:tcMar>
              <w:top w:w="72" w:type="dxa"/>
              <w:left w:w="144" w:type="dxa"/>
              <w:bottom w:w="72" w:type="dxa"/>
              <w:right w:w="144" w:type="dxa"/>
            </w:tcMar>
            <w:hideMark/>
          </w:tcPr>
          <w:p w14:paraId="5977F9D1" w14:textId="77777777" w:rsidR="00263E22" w:rsidRPr="00A91AB3" w:rsidRDefault="00263E22" w:rsidP="005748C9">
            <w:pPr>
              <w:rPr>
                <w:rFonts w:cs="Arial"/>
                <w:sz w:val="16"/>
                <w:szCs w:val="16"/>
              </w:rPr>
            </w:pPr>
            <w:r w:rsidRPr="00613726">
              <w:rPr>
                <w:rFonts w:cs="Arial"/>
                <w:b/>
                <w:bCs/>
                <w:kern w:val="24"/>
                <w:sz w:val="16"/>
                <w:szCs w:val="16"/>
              </w:rPr>
              <w:t>TA scheme</w:t>
            </w:r>
          </w:p>
        </w:tc>
        <w:tc>
          <w:tcPr>
            <w:tcW w:w="652" w:type="pct"/>
            <w:shd w:val="clear" w:color="auto" w:fill="auto"/>
            <w:tcMar>
              <w:top w:w="72" w:type="dxa"/>
              <w:left w:w="144" w:type="dxa"/>
              <w:bottom w:w="72" w:type="dxa"/>
              <w:right w:w="144" w:type="dxa"/>
            </w:tcMar>
            <w:hideMark/>
          </w:tcPr>
          <w:p w14:paraId="6AB79A18" w14:textId="77777777" w:rsidR="00263E22" w:rsidRPr="00A91AB3" w:rsidRDefault="00263E22" w:rsidP="005748C9">
            <w:pPr>
              <w:rPr>
                <w:rFonts w:cs="Arial"/>
                <w:sz w:val="16"/>
                <w:szCs w:val="16"/>
              </w:rPr>
            </w:pPr>
            <w:r w:rsidRPr="00613726">
              <w:rPr>
                <w:rFonts w:cs="Arial"/>
                <w:b/>
                <w:bCs/>
                <w:kern w:val="24"/>
                <w:sz w:val="16"/>
                <w:szCs w:val="16"/>
              </w:rPr>
              <w:t>Numerology</w:t>
            </w:r>
          </w:p>
        </w:tc>
        <w:tc>
          <w:tcPr>
            <w:tcW w:w="1000" w:type="pct"/>
            <w:shd w:val="clear" w:color="auto" w:fill="auto"/>
            <w:tcMar>
              <w:top w:w="72" w:type="dxa"/>
              <w:left w:w="144" w:type="dxa"/>
              <w:bottom w:w="72" w:type="dxa"/>
              <w:right w:w="144" w:type="dxa"/>
            </w:tcMar>
            <w:hideMark/>
          </w:tcPr>
          <w:p w14:paraId="209F7C63" w14:textId="77777777" w:rsidR="00263E22" w:rsidRPr="00A91AB3" w:rsidRDefault="00263E22" w:rsidP="005748C9">
            <w:pPr>
              <w:rPr>
                <w:rFonts w:cs="Arial"/>
                <w:sz w:val="16"/>
                <w:szCs w:val="16"/>
              </w:rPr>
            </w:pPr>
            <w:r w:rsidRPr="00613726">
              <w:rPr>
                <w:rFonts w:cs="Arial"/>
                <w:b/>
                <w:bCs/>
                <w:kern w:val="24"/>
                <w:sz w:val="16"/>
                <w:szCs w:val="16"/>
              </w:rPr>
              <w:t>Max TA in the unit of slot</w:t>
            </w:r>
          </w:p>
        </w:tc>
        <w:tc>
          <w:tcPr>
            <w:tcW w:w="1000" w:type="pct"/>
            <w:shd w:val="clear" w:color="auto" w:fill="auto"/>
            <w:tcMar>
              <w:top w:w="72" w:type="dxa"/>
              <w:left w:w="144" w:type="dxa"/>
              <w:bottom w:w="72" w:type="dxa"/>
              <w:right w:w="144" w:type="dxa"/>
            </w:tcMar>
            <w:hideMark/>
          </w:tcPr>
          <w:p w14:paraId="6D609D61" w14:textId="77777777" w:rsidR="00263E22" w:rsidRPr="00A91AB3" w:rsidRDefault="00263E22" w:rsidP="005748C9">
            <w:pPr>
              <w:rPr>
                <w:rFonts w:cs="Arial"/>
                <w:sz w:val="16"/>
                <w:szCs w:val="16"/>
              </w:rPr>
            </w:pPr>
            <w:r w:rsidRPr="00613726">
              <w:rPr>
                <w:rFonts w:cs="Arial"/>
                <w:b/>
                <w:bCs/>
                <w:kern w:val="24"/>
                <w:sz w:val="16"/>
                <w:szCs w:val="16"/>
              </w:rPr>
              <w:t xml:space="preserve">Usable K1 range from 1, …, 8 (DCI 1_0) </w:t>
            </w:r>
          </w:p>
        </w:tc>
        <w:tc>
          <w:tcPr>
            <w:tcW w:w="1000" w:type="pct"/>
            <w:shd w:val="clear" w:color="auto" w:fill="auto"/>
            <w:tcMar>
              <w:top w:w="72" w:type="dxa"/>
              <w:left w:w="144" w:type="dxa"/>
              <w:bottom w:w="72" w:type="dxa"/>
              <w:right w:w="144" w:type="dxa"/>
            </w:tcMar>
            <w:hideMark/>
          </w:tcPr>
          <w:p w14:paraId="2E828AE0" w14:textId="77777777" w:rsidR="00263E22" w:rsidRPr="00A91AB3" w:rsidRDefault="00263E22" w:rsidP="005748C9">
            <w:pPr>
              <w:rPr>
                <w:rFonts w:cs="Arial"/>
                <w:sz w:val="16"/>
                <w:szCs w:val="16"/>
              </w:rPr>
            </w:pPr>
            <w:r w:rsidRPr="00613726">
              <w:rPr>
                <w:rFonts w:cs="Arial"/>
                <w:b/>
                <w:bCs/>
                <w:kern w:val="24"/>
                <w:sz w:val="16"/>
                <w:szCs w:val="16"/>
              </w:rPr>
              <w:t xml:space="preserve">Usable K1 range from 0, …, 15 (DCI 1_1) </w:t>
            </w:r>
          </w:p>
        </w:tc>
      </w:tr>
      <w:tr w:rsidR="00263E22" w:rsidRPr="00BC36CB" w14:paraId="46EBFDDB" w14:textId="77777777" w:rsidTr="00613726">
        <w:trPr>
          <w:trHeight w:val="20"/>
        </w:trPr>
        <w:tc>
          <w:tcPr>
            <w:tcW w:w="1347" w:type="pct"/>
            <w:vMerge w:val="restart"/>
            <w:shd w:val="clear" w:color="auto" w:fill="auto"/>
            <w:tcMar>
              <w:top w:w="72" w:type="dxa"/>
              <w:left w:w="144" w:type="dxa"/>
              <w:bottom w:w="72" w:type="dxa"/>
              <w:right w:w="144" w:type="dxa"/>
            </w:tcMar>
            <w:vAlign w:val="center"/>
            <w:hideMark/>
          </w:tcPr>
          <w:p w14:paraId="299CFC17" w14:textId="43D409AE" w:rsidR="00263E22" w:rsidRPr="00BC36CB" w:rsidRDefault="00263E22" w:rsidP="00263E22">
            <w:pPr>
              <w:rPr>
                <w:rFonts w:cs="Arial"/>
                <w:sz w:val="16"/>
                <w:szCs w:val="16"/>
              </w:rPr>
            </w:pPr>
            <w:r w:rsidRPr="00BC36CB">
              <w:rPr>
                <w:rFonts w:cs="Arial"/>
                <w:color w:val="000000" w:themeColor="dark1"/>
                <w:kern w:val="24"/>
                <w:sz w:val="16"/>
                <w:szCs w:val="16"/>
              </w:rPr>
              <w:t xml:space="preserve">TA compensating for differential RTT up to 1.6 </w:t>
            </w:r>
            <w:proofErr w:type="gramStart"/>
            <w:r w:rsidRPr="00BC36CB">
              <w:rPr>
                <w:rFonts w:cs="Arial"/>
                <w:color w:val="000000" w:themeColor="dark1"/>
                <w:kern w:val="24"/>
                <w:sz w:val="16"/>
                <w:szCs w:val="16"/>
              </w:rPr>
              <w:t>ms</w:t>
            </w:r>
            <w:r>
              <w:rPr>
                <w:rFonts w:cs="Arial"/>
                <w:color w:val="000000" w:themeColor="dark1"/>
                <w:kern w:val="24"/>
                <w:sz w:val="16"/>
                <w:szCs w:val="16"/>
              </w:rPr>
              <w:t xml:space="preserve">  </w:t>
            </w:r>
            <w:r w:rsidRPr="00BC36CB">
              <w:rPr>
                <w:rFonts w:cs="Arial"/>
                <w:color w:val="000000" w:themeColor="dark1"/>
                <w:kern w:val="24"/>
                <w:sz w:val="16"/>
                <w:szCs w:val="16"/>
              </w:rPr>
              <w:t>(</w:t>
            </w:r>
            <w:proofErr w:type="gramEnd"/>
            <w:r w:rsidRPr="00BC36CB">
              <w:rPr>
                <w:rFonts w:cs="Arial"/>
                <w:color w:val="000000" w:themeColor="dark1"/>
                <w:kern w:val="24"/>
                <w:sz w:val="16"/>
                <w:szCs w:val="16"/>
              </w:rPr>
              <w:t>small TA)</w:t>
            </w:r>
          </w:p>
        </w:tc>
        <w:tc>
          <w:tcPr>
            <w:tcW w:w="652" w:type="pct"/>
            <w:shd w:val="clear" w:color="auto" w:fill="auto"/>
            <w:tcMar>
              <w:top w:w="72" w:type="dxa"/>
              <w:left w:w="144" w:type="dxa"/>
              <w:bottom w:w="72" w:type="dxa"/>
              <w:right w:w="144" w:type="dxa"/>
            </w:tcMar>
            <w:hideMark/>
          </w:tcPr>
          <w:p w14:paraId="067FCCCF" w14:textId="77777777" w:rsidR="00263E22" w:rsidRPr="00BC36CB" w:rsidRDefault="00263E22" w:rsidP="005748C9">
            <w:pPr>
              <w:rPr>
                <w:rFonts w:cs="Arial"/>
                <w:sz w:val="16"/>
                <w:szCs w:val="16"/>
              </w:rPr>
            </w:pPr>
            <w:r w:rsidRPr="00BC36CB">
              <w:rPr>
                <w:rFonts w:cs="Arial"/>
                <w:color w:val="000000" w:themeColor="dark1"/>
                <w:kern w:val="24"/>
                <w:sz w:val="16"/>
                <w:szCs w:val="16"/>
              </w:rPr>
              <w:t>15 kHz</w:t>
            </w:r>
          </w:p>
        </w:tc>
        <w:tc>
          <w:tcPr>
            <w:tcW w:w="1000" w:type="pct"/>
            <w:shd w:val="clear" w:color="auto" w:fill="auto"/>
            <w:tcMar>
              <w:top w:w="72" w:type="dxa"/>
              <w:left w:w="144" w:type="dxa"/>
              <w:bottom w:w="72" w:type="dxa"/>
              <w:right w:w="144" w:type="dxa"/>
            </w:tcMar>
            <w:hideMark/>
          </w:tcPr>
          <w:p w14:paraId="6FE0DB7E" w14:textId="77777777" w:rsidR="00263E22" w:rsidRPr="00BC36CB" w:rsidRDefault="00263E22" w:rsidP="005748C9">
            <w:pPr>
              <w:rPr>
                <w:rFonts w:cs="Arial"/>
                <w:sz w:val="16"/>
                <w:szCs w:val="16"/>
              </w:rPr>
            </w:pPr>
            <w:r w:rsidRPr="00BC36CB">
              <w:rPr>
                <w:rFonts w:cs="Arial"/>
                <w:color w:val="000000" w:themeColor="dark1"/>
                <w:kern w:val="24"/>
                <w:sz w:val="16"/>
                <w:szCs w:val="16"/>
              </w:rPr>
              <w:t>1.6 slots</w:t>
            </w:r>
          </w:p>
        </w:tc>
        <w:tc>
          <w:tcPr>
            <w:tcW w:w="1000" w:type="pct"/>
            <w:shd w:val="clear" w:color="auto" w:fill="auto"/>
            <w:tcMar>
              <w:top w:w="72" w:type="dxa"/>
              <w:left w:w="144" w:type="dxa"/>
              <w:bottom w:w="72" w:type="dxa"/>
              <w:right w:w="144" w:type="dxa"/>
            </w:tcMar>
            <w:hideMark/>
          </w:tcPr>
          <w:p w14:paraId="6B79E5D4" w14:textId="77777777" w:rsidR="00263E22" w:rsidRPr="00BC36CB" w:rsidRDefault="00263E22" w:rsidP="005748C9">
            <w:pPr>
              <w:rPr>
                <w:rFonts w:cs="Arial"/>
                <w:sz w:val="16"/>
                <w:szCs w:val="16"/>
              </w:rPr>
            </w:pPr>
            <w:r w:rsidRPr="00BC36CB">
              <w:rPr>
                <w:rFonts w:cs="Arial"/>
                <w:color w:val="000000" w:themeColor="dark1"/>
                <w:kern w:val="24"/>
                <w:sz w:val="16"/>
                <w:szCs w:val="16"/>
              </w:rPr>
              <w:t>1, …, 8</w:t>
            </w:r>
          </w:p>
        </w:tc>
        <w:tc>
          <w:tcPr>
            <w:tcW w:w="1000" w:type="pct"/>
            <w:shd w:val="clear" w:color="auto" w:fill="auto"/>
            <w:tcMar>
              <w:top w:w="72" w:type="dxa"/>
              <w:left w:w="144" w:type="dxa"/>
              <w:bottom w:w="72" w:type="dxa"/>
              <w:right w:w="144" w:type="dxa"/>
            </w:tcMar>
            <w:hideMark/>
          </w:tcPr>
          <w:p w14:paraId="3E72ED4D" w14:textId="77777777" w:rsidR="00263E22" w:rsidRPr="00BC36CB" w:rsidRDefault="00263E22" w:rsidP="005748C9">
            <w:pPr>
              <w:rPr>
                <w:rFonts w:cs="Arial"/>
                <w:sz w:val="16"/>
                <w:szCs w:val="16"/>
              </w:rPr>
            </w:pPr>
            <w:r w:rsidRPr="00BC36CB">
              <w:rPr>
                <w:rFonts w:cs="Arial"/>
                <w:color w:val="000000" w:themeColor="dark1"/>
                <w:kern w:val="24"/>
                <w:sz w:val="16"/>
                <w:szCs w:val="16"/>
              </w:rPr>
              <w:t>1, …, 15</w:t>
            </w:r>
          </w:p>
        </w:tc>
      </w:tr>
      <w:tr w:rsidR="00263E22" w:rsidRPr="00BC36CB" w14:paraId="223D2398" w14:textId="77777777" w:rsidTr="00613726">
        <w:trPr>
          <w:trHeight w:val="342"/>
        </w:trPr>
        <w:tc>
          <w:tcPr>
            <w:tcW w:w="1347" w:type="pct"/>
            <w:vMerge/>
            <w:shd w:val="clear" w:color="auto" w:fill="auto"/>
            <w:vAlign w:val="center"/>
            <w:hideMark/>
          </w:tcPr>
          <w:p w14:paraId="66768290" w14:textId="77777777" w:rsidR="00263E22" w:rsidRPr="00BC36CB" w:rsidRDefault="00263E22" w:rsidP="00263E22">
            <w:pPr>
              <w:rPr>
                <w:rFonts w:cs="Arial"/>
                <w:sz w:val="16"/>
                <w:szCs w:val="16"/>
              </w:rPr>
            </w:pPr>
          </w:p>
        </w:tc>
        <w:tc>
          <w:tcPr>
            <w:tcW w:w="652" w:type="pct"/>
            <w:shd w:val="clear" w:color="auto" w:fill="auto"/>
            <w:tcMar>
              <w:top w:w="72" w:type="dxa"/>
              <w:left w:w="144" w:type="dxa"/>
              <w:bottom w:w="72" w:type="dxa"/>
              <w:right w:w="144" w:type="dxa"/>
            </w:tcMar>
            <w:hideMark/>
          </w:tcPr>
          <w:p w14:paraId="6B7BBD81" w14:textId="77777777" w:rsidR="00263E22" w:rsidRPr="00BC36CB" w:rsidRDefault="00263E22" w:rsidP="005748C9">
            <w:pPr>
              <w:rPr>
                <w:rFonts w:cs="Arial"/>
                <w:sz w:val="16"/>
                <w:szCs w:val="16"/>
              </w:rPr>
            </w:pPr>
            <w:r w:rsidRPr="00BC36CB">
              <w:rPr>
                <w:rFonts w:cs="Arial"/>
                <w:color w:val="000000" w:themeColor="dark1"/>
                <w:kern w:val="24"/>
                <w:sz w:val="16"/>
                <w:szCs w:val="16"/>
              </w:rPr>
              <w:t>30 kHz</w:t>
            </w:r>
          </w:p>
        </w:tc>
        <w:tc>
          <w:tcPr>
            <w:tcW w:w="1000" w:type="pct"/>
            <w:shd w:val="clear" w:color="auto" w:fill="auto"/>
            <w:tcMar>
              <w:top w:w="72" w:type="dxa"/>
              <w:left w:w="144" w:type="dxa"/>
              <w:bottom w:w="72" w:type="dxa"/>
              <w:right w:w="144" w:type="dxa"/>
            </w:tcMar>
            <w:hideMark/>
          </w:tcPr>
          <w:p w14:paraId="0521ECFC" w14:textId="77777777" w:rsidR="00263E22" w:rsidRPr="00BC36CB" w:rsidRDefault="00263E22" w:rsidP="005748C9">
            <w:pPr>
              <w:rPr>
                <w:rFonts w:cs="Arial"/>
                <w:sz w:val="16"/>
                <w:szCs w:val="16"/>
              </w:rPr>
            </w:pPr>
            <w:r w:rsidRPr="00BC36CB">
              <w:rPr>
                <w:rFonts w:cs="Arial"/>
                <w:color w:val="000000" w:themeColor="dark1"/>
                <w:kern w:val="24"/>
                <w:sz w:val="16"/>
                <w:szCs w:val="16"/>
              </w:rPr>
              <w:t>3.2 slots</w:t>
            </w:r>
          </w:p>
        </w:tc>
        <w:tc>
          <w:tcPr>
            <w:tcW w:w="1000" w:type="pct"/>
            <w:shd w:val="clear" w:color="auto" w:fill="auto"/>
            <w:tcMar>
              <w:top w:w="72" w:type="dxa"/>
              <w:left w:w="144" w:type="dxa"/>
              <w:bottom w:w="72" w:type="dxa"/>
              <w:right w:w="144" w:type="dxa"/>
            </w:tcMar>
            <w:hideMark/>
          </w:tcPr>
          <w:p w14:paraId="23132606" w14:textId="77777777" w:rsidR="00263E22" w:rsidRPr="00BC36CB" w:rsidRDefault="00263E22" w:rsidP="005748C9">
            <w:pPr>
              <w:rPr>
                <w:rFonts w:cs="Arial"/>
                <w:sz w:val="16"/>
                <w:szCs w:val="16"/>
              </w:rPr>
            </w:pPr>
            <w:r w:rsidRPr="00BC36CB">
              <w:rPr>
                <w:rFonts w:cs="Arial"/>
                <w:color w:val="000000" w:themeColor="dark1"/>
                <w:kern w:val="24"/>
                <w:sz w:val="16"/>
                <w:szCs w:val="16"/>
              </w:rPr>
              <w:t>3, …, 8</w:t>
            </w:r>
          </w:p>
        </w:tc>
        <w:tc>
          <w:tcPr>
            <w:tcW w:w="1000" w:type="pct"/>
            <w:shd w:val="clear" w:color="auto" w:fill="auto"/>
            <w:tcMar>
              <w:top w:w="72" w:type="dxa"/>
              <w:left w:w="144" w:type="dxa"/>
              <w:bottom w:w="72" w:type="dxa"/>
              <w:right w:w="144" w:type="dxa"/>
            </w:tcMar>
            <w:hideMark/>
          </w:tcPr>
          <w:p w14:paraId="30A67598" w14:textId="77777777" w:rsidR="00263E22" w:rsidRPr="00BC36CB" w:rsidRDefault="00263E22" w:rsidP="005748C9">
            <w:pPr>
              <w:rPr>
                <w:rFonts w:cs="Arial"/>
                <w:sz w:val="16"/>
                <w:szCs w:val="16"/>
              </w:rPr>
            </w:pPr>
            <w:r w:rsidRPr="00BC36CB">
              <w:rPr>
                <w:rFonts w:cs="Arial"/>
                <w:color w:val="000000" w:themeColor="dark1"/>
                <w:kern w:val="24"/>
                <w:sz w:val="16"/>
                <w:szCs w:val="16"/>
              </w:rPr>
              <w:t>3, …, 15</w:t>
            </w:r>
          </w:p>
        </w:tc>
      </w:tr>
      <w:tr w:rsidR="00263E22" w:rsidRPr="00BC36CB" w14:paraId="4A189A8B" w14:textId="77777777" w:rsidTr="00613726">
        <w:trPr>
          <w:trHeight w:val="342"/>
        </w:trPr>
        <w:tc>
          <w:tcPr>
            <w:tcW w:w="1347" w:type="pct"/>
            <w:vMerge/>
            <w:shd w:val="clear" w:color="auto" w:fill="auto"/>
            <w:vAlign w:val="center"/>
            <w:hideMark/>
          </w:tcPr>
          <w:p w14:paraId="1E8B45ED" w14:textId="77777777" w:rsidR="00263E22" w:rsidRPr="00BC36CB" w:rsidRDefault="00263E22" w:rsidP="00263E22">
            <w:pPr>
              <w:rPr>
                <w:rFonts w:cs="Arial"/>
                <w:sz w:val="16"/>
                <w:szCs w:val="16"/>
              </w:rPr>
            </w:pPr>
          </w:p>
        </w:tc>
        <w:tc>
          <w:tcPr>
            <w:tcW w:w="652" w:type="pct"/>
            <w:shd w:val="clear" w:color="auto" w:fill="auto"/>
            <w:tcMar>
              <w:top w:w="72" w:type="dxa"/>
              <w:left w:w="144" w:type="dxa"/>
              <w:bottom w:w="72" w:type="dxa"/>
              <w:right w:w="144" w:type="dxa"/>
            </w:tcMar>
            <w:hideMark/>
          </w:tcPr>
          <w:p w14:paraId="6006686B" w14:textId="77777777" w:rsidR="00263E22" w:rsidRPr="00BC36CB" w:rsidRDefault="00263E22" w:rsidP="005748C9">
            <w:pPr>
              <w:rPr>
                <w:rFonts w:cs="Arial"/>
                <w:sz w:val="16"/>
                <w:szCs w:val="16"/>
              </w:rPr>
            </w:pPr>
            <w:r w:rsidRPr="00BC36CB">
              <w:rPr>
                <w:rFonts w:cs="Arial"/>
                <w:color w:val="000000" w:themeColor="dark1"/>
                <w:kern w:val="24"/>
                <w:sz w:val="16"/>
                <w:szCs w:val="16"/>
              </w:rPr>
              <w:t>60 kHz</w:t>
            </w:r>
          </w:p>
        </w:tc>
        <w:tc>
          <w:tcPr>
            <w:tcW w:w="1000" w:type="pct"/>
            <w:shd w:val="clear" w:color="auto" w:fill="auto"/>
            <w:tcMar>
              <w:top w:w="72" w:type="dxa"/>
              <w:left w:w="144" w:type="dxa"/>
              <w:bottom w:w="72" w:type="dxa"/>
              <w:right w:w="144" w:type="dxa"/>
            </w:tcMar>
            <w:hideMark/>
          </w:tcPr>
          <w:p w14:paraId="70E0AA1C" w14:textId="77777777" w:rsidR="00263E22" w:rsidRPr="00BC36CB" w:rsidRDefault="00263E22" w:rsidP="005748C9">
            <w:pPr>
              <w:rPr>
                <w:rFonts w:cs="Arial"/>
                <w:sz w:val="16"/>
                <w:szCs w:val="16"/>
              </w:rPr>
            </w:pPr>
            <w:r w:rsidRPr="00BC36CB">
              <w:rPr>
                <w:rFonts w:cs="Arial"/>
                <w:color w:val="000000" w:themeColor="dark1"/>
                <w:kern w:val="24"/>
                <w:sz w:val="16"/>
                <w:szCs w:val="16"/>
              </w:rPr>
              <w:t>6.4 slots</w:t>
            </w:r>
          </w:p>
        </w:tc>
        <w:tc>
          <w:tcPr>
            <w:tcW w:w="1000" w:type="pct"/>
            <w:shd w:val="clear" w:color="auto" w:fill="auto"/>
            <w:tcMar>
              <w:top w:w="72" w:type="dxa"/>
              <w:left w:w="144" w:type="dxa"/>
              <w:bottom w:w="72" w:type="dxa"/>
              <w:right w:w="144" w:type="dxa"/>
            </w:tcMar>
            <w:hideMark/>
          </w:tcPr>
          <w:p w14:paraId="4DD9A4CC" w14:textId="77777777" w:rsidR="00263E22" w:rsidRPr="00BC36CB" w:rsidRDefault="00263E22" w:rsidP="005748C9">
            <w:pPr>
              <w:rPr>
                <w:rFonts w:cs="Arial"/>
                <w:sz w:val="16"/>
                <w:szCs w:val="16"/>
              </w:rPr>
            </w:pPr>
            <w:r w:rsidRPr="00BC36CB">
              <w:rPr>
                <w:rFonts w:cs="Arial"/>
                <w:color w:val="FF0000"/>
                <w:kern w:val="24"/>
                <w:sz w:val="16"/>
                <w:szCs w:val="16"/>
              </w:rPr>
              <w:t>7, 8</w:t>
            </w:r>
          </w:p>
        </w:tc>
        <w:tc>
          <w:tcPr>
            <w:tcW w:w="1000" w:type="pct"/>
            <w:shd w:val="clear" w:color="auto" w:fill="auto"/>
            <w:tcMar>
              <w:top w:w="72" w:type="dxa"/>
              <w:left w:w="144" w:type="dxa"/>
              <w:bottom w:w="72" w:type="dxa"/>
              <w:right w:w="144" w:type="dxa"/>
            </w:tcMar>
            <w:hideMark/>
          </w:tcPr>
          <w:p w14:paraId="3193FF5A" w14:textId="77777777" w:rsidR="00263E22" w:rsidRPr="00BC36CB" w:rsidRDefault="00263E22" w:rsidP="005748C9">
            <w:pPr>
              <w:rPr>
                <w:rFonts w:cs="Arial"/>
                <w:sz w:val="16"/>
                <w:szCs w:val="16"/>
              </w:rPr>
            </w:pPr>
            <w:r w:rsidRPr="00BC36CB">
              <w:rPr>
                <w:rFonts w:cs="Arial"/>
                <w:color w:val="000000" w:themeColor="dark1"/>
                <w:kern w:val="24"/>
                <w:sz w:val="16"/>
                <w:szCs w:val="16"/>
              </w:rPr>
              <w:t>6, …, 15</w:t>
            </w:r>
          </w:p>
        </w:tc>
      </w:tr>
      <w:tr w:rsidR="00263E22" w:rsidRPr="00BC36CB" w14:paraId="21F82675" w14:textId="77777777" w:rsidTr="00613726">
        <w:trPr>
          <w:trHeight w:val="342"/>
        </w:trPr>
        <w:tc>
          <w:tcPr>
            <w:tcW w:w="1347" w:type="pct"/>
            <w:vMerge/>
            <w:shd w:val="clear" w:color="auto" w:fill="auto"/>
            <w:vAlign w:val="center"/>
            <w:hideMark/>
          </w:tcPr>
          <w:p w14:paraId="2CED91BA" w14:textId="77777777" w:rsidR="00263E22" w:rsidRPr="00BC36CB" w:rsidRDefault="00263E22" w:rsidP="00263E22">
            <w:pPr>
              <w:rPr>
                <w:rFonts w:cs="Arial"/>
                <w:sz w:val="16"/>
                <w:szCs w:val="16"/>
              </w:rPr>
            </w:pPr>
          </w:p>
        </w:tc>
        <w:tc>
          <w:tcPr>
            <w:tcW w:w="652" w:type="pct"/>
            <w:shd w:val="clear" w:color="auto" w:fill="auto"/>
            <w:tcMar>
              <w:top w:w="72" w:type="dxa"/>
              <w:left w:w="144" w:type="dxa"/>
              <w:bottom w:w="72" w:type="dxa"/>
              <w:right w:w="144" w:type="dxa"/>
            </w:tcMar>
            <w:hideMark/>
          </w:tcPr>
          <w:p w14:paraId="30FC4E22" w14:textId="77777777" w:rsidR="00263E22" w:rsidRPr="00BC36CB" w:rsidRDefault="00263E22" w:rsidP="005748C9">
            <w:pPr>
              <w:rPr>
                <w:rFonts w:cs="Arial"/>
                <w:sz w:val="16"/>
                <w:szCs w:val="16"/>
              </w:rPr>
            </w:pPr>
            <w:r w:rsidRPr="00BC36CB">
              <w:rPr>
                <w:rFonts w:cs="Arial"/>
                <w:color w:val="000000" w:themeColor="dark1"/>
                <w:kern w:val="24"/>
                <w:sz w:val="16"/>
                <w:szCs w:val="16"/>
              </w:rPr>
              <w:t>120 kHz</w:t>
            </w:r>
          </w:p>
        </w:tc>
        <w:tc>
          <w:tcPr>
            <w:tcW w:w="1000" w:type="pct"/>
            <w:shd w:val="clear" w:color="auto" w:fill="auto"/>
            <w:tcMar>
              <w:top w:w="72" w:type="dxa"/>
              <w:left w:w="144" w:type="dxa"/>
              <w:bottom w:w="72" w:type="dxa"/>
              <w:right w:w="144" w:type="dxa"/>
            </w:tcMar>
            <w:hideMark/>
          </w:tcPr>
          <w:p w14:paraId="5A4E45B7" w14:textId="77777777" w:rsidR="00263E22" w:rsidRPr="00BC36CB" w:rsidRDefault="00263E22" w:rsidP="005748C9">
            <w:pPr>
              <w:rPr>
                <w:rFonts w:cs="Arial"/>
                <w:sz w:val="16"/>
                <w:szCs w:val="16"/>
              </w:rPr>
            </w:pPr>
            <w:r w:rsidRPr="00BC36CB">
              <w:rPr>
                <w:rFonts w:cs="Arial"/>
                <w:color w:val="000000" w:themeColor="dark1"/>
                <w:kern w:val="24"/>
                <w:sz w:val="16"/>
                <w:szCs w:val="16"/>
              </w:rPr>
              <w:t>12.8 slots</w:t>
            </w:r>
          </w:p>
        </w:tc>
        <w:tc>
          <w:tcPr>
            <w:tcW w:w="1000" w:type="pct"/>
            <w:shd w:val="clear" w:color="auto" w:fill="auto"/>
            <w:tcMar>
              <w:top w:w="72" w:type="dxa"/>
              <w:left w:w="144" w:type="dxa"/>
              <w:bottom w:w="72" w:type="dxa"/>
              <w:right w:w="144" w:type="dxa"/>
            </w:tcMar>
            <w:hideMark/>
          </w:tcPr>
          <w:p w14:paraId="2312C1F5" w14:textId="77777777" w:rsidR="00263E22" w:rsidRPr="00BC36CB" w:rsidRDefault="00263E22" w:rsidP="005748C9">
            <w:pPr>
              <w:rPr>
                <w:rFonts w:cs="Arial"/>
                <w:sz w:val="16"/>
                <w:szCs w:val="16"/>
              </w:rPr>
            </w:pPr>
            <w:r w:rsidRPr="00BC36CB">
              <w:rPr>
                <w:rFonts w:cs="Arial"/>
                <w:color w:val="FF0000"/>
                <w:kern w:val="24"/>
                <w:sz w:val="16"/>
                <w:szCs w:val="16"/>
              </w:rPr>
              <w:t>None</w:t>
            </w:r>
          </w:p>
        </w:tc>
        <w:tc>
          <w:tcPr>
            <w:tcW w:w="1000" w:type="pct"/>
            <w:shd w:val="clear" w:color="auto" w:fill="auto"/>
            <w:tcMar>
              <w:top w:w="72" w:type="dxa"/>
              <w:left w:w="144" w:type="dxa"/>
              <w:bottom w:w="72" w:type="dxa"/>
              <w:right w:w="144" w:type="dxa"/>
            </w:tcMar>
            <w:hideMark/>
          </w:tcPr>
          <w:p w14:paraId="21A795DE" w14:textId="77777777" w:rsidR="00263E22" w:rsidRPr="00BC36CB" w:rsidRDefault="00263E22" w:rsidP="005748C9">
            <w:pPr>
              <w:rPr>
                <w:rFonts w:cs="Arial"/>
                <w:sz w:val="16"/>
                <w:szCs w:val="16"/>
              </w:rPr>
            </w:pPr>
            <w:r w:rsidRPr="00BC36CB">
              <w:rPr>
                <w:rFonts w:cs="Arial"/>
                <w:color w:val="FF0000"/>
                <w:kern w:val="24"/>
                <w:sz w:val="16"/>
                <w:szCs w:val="16"/>
              </w:rPr>
              <w:t>12, …, 15</w:t>
            </w:r>
          </w:p>
        </w:tc>
      </w:tr>
      <w:tr w:rsidR="00263E22" w:rsidRPr="00BC36CB" w14:paraId="2EFAD60C" w14:textId="77777777" w:rsidTr="00613726">
        <w:trPr>
          <w:trHeight w:val="342"/>
        </w:trPr>
        <w:tc>
          <w:tcPr>
            <w:tcW w:w="1347" w:type="pct"/>
            <w:vMerge w:val="restart"/>
            <w:shd w:val="clear" w:color="auto" w:fill="auto"/>
            <w:tcMar>
              <w:top w:w="72" w:type="dxa"/>
              <w:left w:w="144" w:type="dxa"/>
              <w:bottom w:w="72" w:type="dxa"/>
              <w:right w:w="144" w:type="dxa"/>
            </w:tcMar>
            <w:vAlign w:val="center"/>
            <w:hideMark/>
          </w:tcPr>
          <w:p w14:paraId="2F1DEDF7" w14:textId="307105E7" w:rsidR="00263E22" w:rsidRPr="00BC36CB" w:rsidRDefault="00263E22" w:rsidP="00263E22">
            <w:pPr>
              <w:rPr>
                <w:rFonts w:cs="Arial"/>
                <w:sz w:val="16"/>
                <w:szCs w:val="16"/>
              </w:rPr>
            </w:pPr>
            <w:r w:rsidRPr="00BC36CB">
              <w:rPr>
                <w:rFonts w:cs="Arial"/>
                <w:color w:val="000000" w:themeColor="dark1"/>
                <w:kern w:val="24"/>
                <w:sz w:val="16"/>
                <w:szCs w:val="16"/>
              </w:rPr>
              <w:t xml:space="preserve">TA compensating for full RTT up to 541.46 </w:t>
            </w:r>
            <w:proofErr w:type="gramStart"/>
            <w:r w:rsidRPr="00BC36CB">
              <w:rPr>
                <w:rFonts w:cs="Arial"/>
                <w:color w:val="000000" w:themeColor="dark1"/>
                <w:kern w:val="24"/>
                <w:sz w:val="16"/>
                <w:szCs w:val="16"/>
              </w:rPr>
              <w:t>ms</w:t>
            </w:r>
            <w:r>
              <w:rPr>
                <w:rFonts w:cs="Arial"/>
                <w:color w:val="000000" w:themeColor="dark1"/>
                <w:kern w:val="24"/>
                <w:sz w:val="16"/>
                <w:szCs w:val="16"/>
              </w:rPr>
              <w:t xml:space="preserve">  </w:t>
            </w:r>
            <w:r w:rsidRPr="00BC36CB">
              <w:rPr>
                <w:rFonts w:cs="Arial"/>
                <w:color w:val="000000" w:themeColor="dark1"/>
                <w:kern w:val="24"/>
                <w:sz w:val="16"/>
                <w:szCs w:val="16"/>
              </w:rPr>
              <w:t>(</w:t>
            </w:r>
            <w:proofErr w:type="gramEnd"/>
            <w:r w:rsidRPr="00BC36CB">
              <w:rPr>
                <w:rFonts w:cs="Arial"/>
                <w:color w:val="000000" w:themeColor="dark1"/>
                <w:kern w:val="24"/>
                <w:sz w:val="16"/>
                <w:szCs w:val="16"/>
              </w:rPr>
              <w:t>large TA)</w:t>
            </w:r>
          </w:p>
        </w:tc>
        <w:tc>
          <w:tcPr>
            <w:tcW w:w="652" w:type="pct"/>
            <w:shd w:val="clear" w:color="auto" w:fill="auto"/>
            <w:tcMar>
              <w:top w:w="72" w:type="dxa"/>
              <w:left w:w="144" w:type="dxa"/>
              <w:bottom w:w="72" w:type="dxa"/>
              <w:right w:w="144" w:type="dxa"/>
            </w:tcMar>
            <w:hideMark/>
          </w:tcPr>
          <w:p w14:paraId="2A3EE3EA" w14:textId="77777777" w:rsidR="00263E22" w:rsidRPr="00BC36CB" w:rsidRDefault="00263E22" w:rsidP="005748C9">
            <w:pPr>
              <w:rPr>
                <w:rFonts w:cs="Arial"/>
                <w:sz w:val="16"/>
                <w:szCs w:val="16"/>
              </w:rPr>
            </w:pPr>
            <w:r w:rsidRPr="00BC36CB">
              <w:rPr>
                <w:rFonts w:cs="Arial"/>
                <w:color w:val="000000" w:themeColor="dark1"/>
                <w:kern w:val="24"/>
                <w:sz w:val="16"/>
                <w:szCs w:val="16"/>
              </w:rPr>
              <w:t>15 kHz</w:t>
            </w:r>
          </w:p>
        </w:tc>
        <w:tc>
          <w:tcPr>
            <w:tcW w:w="1000" w:type="pct"/>
            <w:shd w:val="clear" w:color="auto" w:fill="auto"/>
            <w:tcMar>
              <w:top w:w="72" w:type="dxa"/>
              <w:left w:w="144" w:type="dxa"/>
              <w:bottom w:w="72" w:type="dxa"/>
              <w:right w:w="144" w:type="dxa"/>
            </w:tcMar>
            <w:hideMark/>
          </w:tcPr>
          <w:p w14:paraId="49BA50EA" w14:textId="77777777" w:rsidR="00263E22" w:rsidRPr="00BC36CB" w:rsidRDefault="00263E22" w:rsidP="005748C9">
            <w:pPr>
              <w:rPr>
                <w:rFonts w:cs="Arial"/>
                <w:sz w:val="16"/>
                <w:szCs w:val="16"/>
              </w:rPr>
            </w:pPr>
            <w:r w:rsidRPr="00BC36CB">
              <w:rPr>
                <w:rFonts w:cs="Arial"/>
                <w:color w:val="000000" w:themeColor="dark1"/>
                <w:kern w:val="24"/>
                <w:sz w:val="16"/>
                <w:szCs w:val="16"/>
              </w:rPr>
              <w:t>541.46 slots</w:t>
            </w:r>
          </w:p>
        </w:tc>
        <w:tc>
          <w:tcPr>
            <w:tcW w:w="1000" w:type="pct"/>
            <w:shd w:val="clear" w:color="auto" w:fill="auto"/>
            <w:tcMar>
              <w:top w:w="72" w:type="dxa"/>
              <w:left w:w="144" w:type="dxa"/>
              <w:bottom w:w="72" w:type="dxa"/>
              <w:right w:w="144" w:type="dxa"/>
            </w:tcMar>
            <w:hideMark/>
          </w:tcPr>
          <w:p w14:paraId="372619F7" w14:textId="77777777" w:rsidR="00263E22" w:rsidRPr="00BC36CB" w:rsidRDefault="00263E22" w:rsidP="005748C9">
            <w:pPr>
              <w:rPr>
                <w:rFonts w:cs="Arial"/>
                <w:sz w:val="16"/>
                <w:szCs w:val="16"/>
              </w:rPr>
            </w:pPr>
            <w:r w:rsidRPr="00BC36CB">
              <w:rPr>
                <w:rFonts w:cs="Arial"/>
                <w:color w:val="FF0000"/>
                <w:kern w:val="24"/>
                <w:sz w:val="16"/>
                <w:szCs w:val="16"/>
              </w:rPr>
              <w:t>None</w:t>
            </w:r>
          </w:p>
        </w:tc>
        <w:tc>
          <w:tcPr>
            <w:tcW w:w="1000" w:type="pct"/>
            <w:shd w:val="clear" w:color="auto" w:fill="auto"/>
            <w:tcMar>
              <w:top w:w="72" w:type="dxa"/>
              <w:left w:w="144" w:type="dxa"/>
              <w:bottom w:w="72" w:type="dxa"/>
              <w:right w:w="144" w:type="dxa"/>
            </w:tcMar>
            <w:hideMark/>
          </w:tcPr>
          <w:p w14:paraId="4BBEDF03" w14:textId="77777777" w:rsidR="00263E22" w:rsidRPr="00BC36CB" w:rsidRDefault="00263E22" w:rsidP="005748C9">
            <w:pPr>
              <w:rPr>
                <w:rFonts w:cs="Arial"/>
                <w:sz w:val="16"/>
                <w:szCs w:val="16"/>
              </w:rPr>
            </w:pPr>
            <w:r w:rsidRPr="00BC36CB">
              <w:rPr>
                <w:rFonts w:cs="Arial"/>
                <w:color w:val="FF0000"/>
                <w:kern w:val="24"/>
                <w:sz w:val="16"/>
                <w:szCs w:val="16"/>
              </w:rPr>
              <w:t>None</w:t>
            </w:r>
          </w:p>
        </w:tc>
      </w:tr>
      <w:tr w:rsidR="00263E22" w:rsidRPr="00BC36CB" w14:paraId="1B8BA01E" w14:textId="77777777" w:rsidTr="00613726">
        <w:trPr>
          <w:trHeight w:val="342"/>
        </w:trPr>
        <w:tc>
          <w:tcPr>
            <w:tcW w:w="1347" w:type="pct"/>
            <w:vMerge/>
            <w:shd w:val="clear" w:color="auto" w:fill="auto"/>
            <w:vAlign w:val="center"/>
            <w:hideMark/>
          </w:tcPr>
          <w:p w14:paraId="67F24387" w14:textId="77777777" w:rsidR="00263E22" w:rsidRPr="00BC36CB" w:rsidRDefault="00263E22" w:rsidP="005748C9">
            <w:pPr>
              <w:rPr>
                <w:rFonts w:cs="Arial"/>
                <w:sz w:val="16"/>
                <w:szCs w:val="16"/>
              </w:rPr>
            </w:pPr>
          </w:p>
        </w:tc>
        <w:tc>
          <w:tcPr>
            <w:tcW w:w="652" w:type="pct"/>
            <w:shd w:val="clear" w:color="auto" w:fill="auto"/>
            <w:tcMar>
              <w:top w:w="72" w:type="dxa"/>
              <w:left w:w="144" w:type="dxa"/>
              <w:bottom w:w="72" w:type="dxa"/>
              <w:right w:w="144" w:type="dxa"/>
            </w:tcMar>
            <w:hideMark/>
          </w:tcPr>
          <w:p w14:paraId="54158296" w14:textId="77777777" w:rsidR="00263E22" w:rsidRPr="00BC36CB" w:rsidRDefault="00263E22" w:rsidP="005748C9">
            <w:pPr>
              <w:rPr>
                <w:rFonts w:cs="Arial"/>
                <w:sz w:val="16"/>
                <w:szCs w:val="16"/>
              </w:rPr>
            </w:pPr>
            <w:r w:rsidRPr="00BC36CB">
              <w:rPr>
                <w:rFonts w:cs="Arial"/>
                <w:color w:val="000000" w:themeColor="dark1"/>
                <w:kern w:val="24"/>
                <w:sz w:val="16"/>
                <w:szCs w:val="16"/>
              </w:rPr>
              <w:t>30 kHz</w:t>
            </w:r>
          </w:p>
        </w:tc>
        <w:tc>
          <w:tcPr>
            <w:tcW w:w="1000" w:type="pct"/>
            <w:shd w:val="clear" w:color="auto" w:fill="auto"/>
            <w:tcMar>
              <w:top w:w="72" w:type="dxa"/>
              <w:left w:w="144" w:type="dxa"/>
              <w:bottom w:w="72" w:type="dxa"/>
              <w:right w:w="144" w:type="dxa"/>
            </w:tcMar>
            <w:hideMark/>
          </w:tcPr>
          <w:p w14:paraId="583F8796" w14:textId="77777777" w:rsidR="00263E22" w:rsidRPr="00BC36CB" w:rsidRDefault="00263E22" w:rsidP="005748C9">
            <w:pPr>
              <w:rPr>
                <w:rFonts w:cs="Arial"/>
                <w:sz w:val="16"/>
                <w:szCs w:val="16"/>
              </w:rPr>
            </w:pPr>
            <w:r w:rsidRPr="00BC36CB">
              <w:rPr>
                <w:rFonts w:cs="Arial"/>
                <w:color w:val="000000" w:themeColor="dark1"/>
                <w:kern w:val="24"/>
                <w:sz w:val="16"/>
                <w:szCs w:val="16"/>
              </w:rPr>
              <w:t>1082.92 slots</w:t>
            </w:r>
          </w:p>
        </w:tc>
        <w:tc>
          <w:tcPr>
            <w:tcW w:w="1000" w:type="pct"/>
            <w:shd w:val="clear" w:color="auto" w:fill="auto"/>
            <w:tcMar>
              <w:top w:w="72" w:type="dxa"/>
              <w:left w:w="144" w:type="dxa"/>
              <w:bottom w:w="72" w:type="dxa"/>
              <w:right w:w="144" w:type="dxa"/>
            </w:tcMar>
            <w:hideMark/>
          </w:tcPr>
          <w:p w14:paraId="2179D474" w14:textId="77777777" w:rsidR="00263E22" w:rsidRPr="00BC36CB" w:rsidRDefault="00263E22" w:rsidP="005748C9">
            <w:pPr>
              <w:rPr>
                <w:rFonts w:cs="Arial"/>
                <w:sz w:val="16"/>
                <w:szCs w:val="16"/>
              </w:rPr>
            </w:pPr>
            <w:r w:rsidRPr="00BC36CB">
              <w:rPr>
                <w:rFonts w:cs="Arial"/>
                <w:color w:val="FF0000"/>
                <w:kern w:val="24"/>
                <w:sz w:val="16"/>
                <w:szCs w:val="16"/>
              </w:rPr>
              <w:t>None</w:t>
            </w:r>
          </w:p>
        </w:tc>
        <w:tc>
          <w:tcPr>
            <w:tcW w:w="1000" w:type="pct"/>
            <w:shd w:val="clear" w:color="auto" w:fill="auto"/>
            <w:tcMar>
              <w:top w:w="72" w:type="dxa"/>
              <w:left w:w="144" w:type="dxa"/>
              <w:bottom w:w="72" w:type="dxa"/>
              <w:right w:w="144" w:type="dxa"/>
            </w:tcMar>
            <w:hideMark/>
          </w:tcPr>
          <w:p w14:paraId="59D83903" w14:textId="77777777" w:rsidR="00263E22" w:rsidRPr="00BC36CB" w:rsidRDefault="00263E22" w:rsidP="005748C9">
            <w:pPr>
              <w:rPr>
                <w:rFonts w:cs="Arial"/>
                <w:sz w:val="16"/>
                <w:szCs w:val="16"/>
              </w:rPr>
            </w:pPr>
            <w:r w:rsidRPr="00BC36CB">
              <w:rPr>
                <w:rFonts w:cs="Arial"/>
                <w:color w:val="FF0000"/>
                <w:kern w:val="24"/>
                <w:sz w:val="16"/>
                <w:szCs w:val="16"/>
              </w:rPr>
              <w:t>None</w:t>
            </w:r>
          </w:p>
        </w:tc>
      </w:tr>
      <w:tr w:rsidR="00263E22" w:rsidRPr="00BC36CB" w14:paraId="27717437" w14:textId="77777777" w:rsidTr="00613726">
        <w:trPr>
          <w:trHeight w:val="342"/>
        </w:trPr>
        <w:tc>
          <w:tcPr>
            <w:tcW w:w="1347" w:type="pct"/>
            <w:vMerge/>
            <w:shd w:val="clear" w:color="auto" w:fill="auto"/>
            <w:vAlign w:val="center"/>
            <w:hideMark/>
          </w:tcPr>
          <w:p w14:paraId="568A70A5" w14:textId="77777777" w:rsidR="00263E22" w:rsidRPr="00BC36CB" w:rsidRDefault="00263E22" w:rsidP="005748C9">
            <w:pPr>
              <w:rPr>
                <w:rFonts w:cs="Arial"/>
                <w:sz w:val="16"/>
                <w:szCs w:val="16"/>
              </w:rPr>
            </w:pPr>
          </w:p>
        </w:tc>
        <w:tc>
          <w:tcPr>
            <w:tcW w:w="652" w:type="pct"/>
            <w:shd w:val="clear" w:color="auto" w:fill="auto"/>
            <w:tcMar>
              <w:top w:w="72" w:type="dxa"/>
              <w:left w:w="144" w:type="dxa"/>
              <w:bottom w:w="72" w:type="dxa"/>
              <w:right w:w="144" w:type="dxa"/>
            </w:tcMar>
            <w:hideMark/>
          </w:tcPr>
          <w:p w14:paraId="18104A4D" w14:textId="77777777" w:rsidR="00263E22" w:rsidRPr="00BC36CB" w:rsidRDefault="00263E22" w:rsidP="005748C9">
            <w:pPr>
              <w:rPr>
                <w:rFonts w:cs="Arial"/>
                <w:sz w:val="16"/>
                <w:szCs w:val="16"/>
              </w:rPr>
            </w:pPr>
            <w:r w:rsidRPr="00BC36CB">
              <w:rPr>
                <w:rFonts w:cs="Arial"/>
                <w:color w:val="000000" w:themeColor="dark1"/>
                <w:kern w:val="24"/>
                <w:sz w:val="16"/>
                <w:szCs w:val="16"/>
              </w:rPr>
              <w:t>60 kHz</w:t>
            </w:r>
          </w:p>
        </w:tc>
        <w:tc>
          <w:tcPr>
            <w:tcW w:w="1000" w:type="pct"/>
            <w:shd w:val="clear" w:color="auto" w:fill="auto"/>
            <w:tcMar>
              <w:top w:w="72" w:type="dxa"/>
              <w:left w:w="144" w:type="dxa"/>
              <w:bottom w:w="72" w:type="dxa"/>
              <w:right w:w="144" w:type="dxa"/>
            </w:tcMar>
            <w:hideMark/>
          </w:tcPr>
          <w:p w14:paraId="43FF3614" w14:textId="77777777" w:rsidR="00263E22" w:rsidRPr="00BC36CB" w:rsidRDefault="00263E22" w:rsidP="005748C9">
            <w:pPr>
              <w:rPr>
                <w:rFonts w:cs="Arial"/>
                <w:sz w:val="16"/>
                <w:szCs w:val="16"/>
              </w:rPr>
            </w:pPr>
            <w:r w:rsidRPr="00BC36CB">
              <w:rPr>
                <w:rFonts w:cs="Arial"/>
                <w:color w:val="000000" w:themeColor="dark1"/>
                <w:kern w:val="24"/>
                <w:sz w:val="16"/>
                <w:szCs w:val="16"/>
              </w:rPr>
              <w:t>2165.84 slots</w:t>
            </w:r>
          </w:p>
        </w:tc>
        <w:tc>
          <w:tcPr>
            <w:tcW w:w="1000" w:type="pct"/>
            <w:shd w:val="clear" w:color="auto" w:fill="auto"/>
            <w:tcMar>
              <w:top w:w="72" w:type="dxa"/>
              <w:left w:w="144" w:type="dxa"/>
              <w:bottom w:w="72" w:type="dxa"/>
              <w:right w:w="144" w:type="dxa"/>
            </w:tcMar>
            <w:hideMark/>
          </w:tcPr>
          <w:p w14:paraId="603A1025" w14:textId="77777777" w:rsidR="00263E22" w:rsidRPr="00BC36CB" w:rsidRDefault="00263E22" w:rsidP="005748C9">
            <w:pPr>
              <w:rPr>
                <w:rFonts w:cs="Arial"/>
                <w:sz w:val="16"/>
                <w:szCs w:val="16"/>
              </w:rPr>
            </w:pPr>
            <w:r w:rsidRPr="00BC36CB">
              <w:rPr>
                <w:rFonts w:cs="Arial"/>
                <w:color w:val="FF0000"/>
                <w:kern w:val="24"/>
                <w:sz w:val="16"/>
                <w:szCs w:val="16"/>
              </w:rPr>
              <w:t>None</w:t>
            </w:r>
          </w:p>
        </w:tc>
        <w:tc>
          <w:tcPr>
            <w:tcW w:w="1000" w:type="pct"/>
            <w:shd w:val="clear" w:color="auto" w:fill="auto"/>
            <w:tcMar>
              <w:top w:w="72" w:type="dxa"/>
              <w:left w:w="144" w:type="dxa"/>
              <w:bottom w:w="72" w:type="dxa"/>
              <w:right w:w="144" w:type="dxa"/>
            </w:tcMar>
            <w:hideMark/>
          </w:tcPr>
          <w:p w14:paraId="2E8A4E15" w14:textId="77777777" w:rsidR="00263E22" w:rsidRPr="00BC36CB" w:rsidRDefault="00263E22" w:rsidP="005748C9">
            <w:pPr>
              <w:rPr>
                <w:rFonts w:cs="Arial"/>
                <w:sz w:val="16"/>
                <w:szCs w:val="16"/>
              </w:rPr>
            </w:pPr>
            <w:r w:rsidRPr="00BC36CB">
              <w:rPr>
                <w:rFonts w:cs="Arial"/>
                <w:color w:val="FF0000"/>
                <w:kern w:val="24"/>
                <w:sz w:val="16"/>
                <w:szCs w:val="16"/>
              </w:rPr>
              <w:t>None</w:t>
            </w:r>
          </w:p>
        </w:tc>
      </w:tr>
      <w:tr w:rsidR="00263E22" w:rsidRPr="00BC36CB" w14:paraId="6E0A9266" w14:textId="77777777" w:rsidTr="00613726">
        <w:trPr>
          <w:trHeight w:val="342"/>
        </w:trPr>
        <w:tc>
          <w:tcPr>
            <w:tcW w:w="1347" w:type="pct"/>
            <w:vMerge/>
            <w:shd w:val="clear" w:color="auto" w:fill="auto"/>
            <w:vAlign w:val="center"/>
            <w:hideMark/>
          </w:tcPr>
          <w:p w14:paraId="4684391F" w14:textId="77777777" w:rsidR="00263E22" w:rsidRPr="00BC36CB" w:rsidRDefault="00263E22" w:rsidP="005748C9">
            <w:pPr>
              <w:rPr>
                <w:rFonts w:cs="Arial"/>
                <w:sz w:val="16"/>
                <w:szCs w:val="16"/>
              </w:rPr>
            </w:pPr>
          </w:p>
        </w:tc>
        <w:tc>
          <w:tcPr>
            <w:tcW w:w="652" w:type="pct"/>
            <w:shd w:val="clear" w:color="auto" w:fill="auto"/>
            <w:tcMar>
              <w:top w:w="72" w:type="dxa"/>
              <w:left w:w="144" w:type="dxa"/>
              <w:bottom w:w="72" w:type="dxa"/>
              <w:right w:w="144" w:type="dxa"/>
            </w:tcMar>
            <w:hideMark/>
          </w:tcPr>
          <w:p w14:paraId="59903D9E" w14:textId="77777777" w:rsidR="00263E22" w:rsidRPr="00BC36CB" w:rsidRDefault="00263E22" w:rsidP="005748C9">
            <w:pPr>
              <w:rPr>
                <w:rFonts w:cs="Arial"/>
                <w:sz w:val="16"/>
                <w:szCs w:val="16"/>
              </w:rPr>
            </w:pPr>
            <w:r w:rsidRPr="00BC36CB">
              <w:rPr>
                <w:rFonts w:cs="Arial"/>
                <w:color w:val="000000" w:themeColor="dark1"/>
                <w:kern w:val="24"/>
                <w:sz w:val="16"/>
                <w:szCs w:val="16"/>
              </w:rPr>
              <w:t>120 kHz</w:t>
            </w:r>
          </w:p>
        </w:tc>
        <w:tc>
          <w:tcPr>
            <w:tcW w:w="1000" w:type="pct"/>
            <w:shd w:val="clear" w:color="auto" w:fill="auto"/>
            <w:tcMar>
              <w:top w:w="72" w:type="dxa"/>
              <w:left w:w="144" w:type="dxa"/>
              <w:bottom w:w="72" w:type="dxa"/>
              <w:right w:w="144" w:type="dxa"/>
            </w:tcMar>
            <w:hideMark/>
          </w:tcPr>
          <w:p w14:paraId="0D98AAB2" w14:textId="77777777" w:rsidR="00263E22" w:rsidRPr="00BC36CB" w:rsidRDefault="00263E22" w:rsidP="005748C9">
            <w:pPr>
              <w:rPr>
                <w:rFonts w:cs="Arial"/>
                <w:sz w:val="16"/>
                <w:szCs w:val="16"/>
              </w:rPr>
            </w:pPr>
            <w:r w:rsidRPr="00BC36CB">
              <w:rPr>
                <w:rFonts w:cs="Arial"/>
                <w:color w:val="000000" w:themeColor="dark1"/>
                <w:kern w:val="24"/>
                <w:sz w:val="16"/>
                <w:szCs w:val="16"/>
              </w:rPr>
              <w:t>4331.68 slots</w:t>
            </w:r>
          </w:p>
        </w:tc>
        <w:tc>
          <w:tcPr>
            <w:tcW w:w="1000" w:type="pct"/>
            <w:shd w:val="clear" w:color="auto" w:fill="auto"/>
            <w:tcMar>
              <w:top w:w="72" w:type="dxa"/>
              <w:left w:w="144" w:type="dxa"/>
              <w:bottom w:w="72" w:type="dxa"/>
              <w:right w:w="144" w:type="dxa"/>
            </w:tcMar>
            <w:hideMark/>
          </w:tcPr>
          <w:p w14:paraId="0AFC59DD" w14:textId="77777777" w:rsidR="00263E22" w:rsidRPr="00BC36CB" w:rsidRDefault="00263E22" w:rsidP="005748C9">
            <w:pPr>
              <w:rPr>
                <w:rFonts w:cs="Arial"/>
                <w:sz w:val="16"/>
                <w:szCs w:val="16"/>
              </w:rPr>
            </w:pPr>
            <w:r w:rsidRPr="00BC36CB">
              <w:rPr>
                <w:rFonts w:cs="Arial"/>
                <w:color w:val="FF0000"/>
                <w:kern w:val="24"/>
                <w:sz w:val="16"/>
                <w:szCs w:val="16"/>
              </w:rPr>
              <w:t>None</w:t>
            </w:r>
          </w:p>
        </w:tc>
        <w:tc>
          <w:tcPr>
            <w:tcW w:w="1000" w:type="pct"/>
            <w:shd w:val="clear" w:color="auto" w:fill="auto"/>
            <w:tcMar>
              <w:top w:w="72" w:type="dxa"/>
              <w:left w:w="144" w:type="dxa"/>
              <w:bottom w:w="72" w:type="dxa"/>
              <w:right w:w="144" w:type="dxa"/>
            </w:tcMar>
            <w:hideMark/>
          </w:tcPr>
          <w:p w14:paraId="0E1025CA" w14:textId="77777777" w:rsidR="00263E22" w:rsidRPr="00BC36CB" w:rsidRDefault="00263E22" w:rsidP="005748C9">
            <w:pPr>
              <w:rPr>
                <w:rFonts w:cs="Arial"/>
                <w:sz w:val="16"/>
                <w:szCs w:val="16"/>
              </w:rPr>
            </w:pPr>
            <w:r w:rsidRPr="00BC36CB">
              <w:rPr>
                <w:rFonts w:cs="Arial"/>
                <w:color w:val="FF0000"/>
                <w:kern w:val="24"/>
                <w:sz w:val="16"/>
                <w:szCs w:val="16"/>
              </w:rPr>
              <w:t>None</w:t>
            </w:r>
          </w:p>
        </w:tc>
      </w:tr>
    </w:tbl>
    <w:p w14:paraId="1F213EEE" w14:textId="77777777" w:rsidR="00263E22" w:rsidRPr="00A921BC" w:rsidRDefault="00263E22" w:rsidP="00263E22">
      <w:pPr>
        <w:pStyle w:val="BodyText"/>
        <w:jc w:val="center"/>
        <w:rPr>
          <w:sz w:val="20"/>
          <w:szCs w:val="20"/>
        </w:rPr>
      </w:pPr>
    </w:p>
    <w:p w14:paraId="69855DDF" w14:textId="6696D94F" w:rsidR="009F3591" w:rsidRDefault="009F3591" w:rsidP="009F3591">
      <w:pPr>
        <w:pStyle w:val="Heading2"/>
      </w:pPr>
      <w:r>
        <w:lastRenderedPageBreak/>
        <w:t xml:space="preserve">2.2 </w:t>
      </w:r>
      <w:r w:rsidR="00577D77">
        <w:t>T</w:t>
      </w:r>
      <w:r>
        <w:t xml:space="preserve">ransmission timing </w:t>
      </w:r>
      <w:r w:rsidR="00577D77">
        <w:t xml:space="preserve">for CSI </w:t>
      </w:r>
      <w:r>
        <w:t>on PU</w:t>
      </w:r>
      <w:r w:rsidR="00072081">
        <w:t>S</w:t>
      </w:r>
      <w:r>
        <w:t>CH</w:t>
      </w:r>
    </w:p>
    <w:p w14:paraId="73EAE95C" w14:textId="1AE73D91" w:rsidR="00541432" w:rsidRDefault="008B709D" w:rsidP="00367151">
      <w:pPr>
        <w:jc w:val="both"/>
        <w:rPr>
          <w:rFonts w:ascii="Arial" w:hAnsi="Arial"/>
          <w:color w:val="000000"/>
          <w:sz w:val="20"/>
          <w:szCs w:val="20"/>
        </w:rPr>
      </w:pPr>
      <w:r w:rsidRPr="00893D97">
        <w:rPr>
          <w:rFonts w:ascii="Arial" w:hAnsi="Arial"/>
          <w:sz w:val="20"/>
          <w:szCs w:val="20"/>
        </w:rPr>
        <w:t>In NR, two configurations for reporting CSI on PUSCH are possible which are aperiodic CSI reporting and semi-persistent CSI reporting on PUSCH</w:t>
      </w:r>
      <w:r w:rsidR="001E0B41">
        <w:rPr>
          <w:rFonts w:ascii="Arial" w:hAnsi="Arial"/>
          <w:sz w:val="20"/>
          <w:szCs w:val="20"/>
        </w:rPr>
        <w:t xml:space="preserve"> (note that periodic</w:t>
      </w:r>
      <w:r w:rsidR="00B4724A">
        <w:rPr>
          <w:rFonts w:ascii="Arial" w:hAnsi="Arial"/>
          <w:sz w:val="20"/>
          <w:szCs w:val="20"/>
        </w:rPr>
        <w:t xml:space="preserve"> CSI reporting is also supported in NR, but for periodic CSI reporting, the report goes on PUCCH)</w:t>
      </w:r>
      <w:r w:rsidRPr="00893D97">
        <w:rPr>
          <w:rFonts w:ascii="Arial" w:hAnsi="Arial"/>
          <w:sz w:val="20"/>
          <w:szCs w:val="20"/>
        </w:rPr>
        <w:t xml:space="preserve">.  Both aperiodic CSI and semi-persistent CSI on PUSCH are activated/triggered by DCI, and the allowed slot offset from the activating/triggering DCI are configured by higher layer parameter </w:t>
      </w:r>
      <w:proofErr w:type="spellStart"/>
      <w:r w:rsidRPr="00893D97">
        <w:rPr>
          <w:rFonts w:ascii="Arial" w:hAnsi="Arial"/>
          <w:i/>
          <w:color w:val="000000"/>
          <w:sz w:val="20"/>
          <w:szCs w:val="20"/>
        </w:rPr>
        <w:t>reportSlotOffsetList</w:t>
      </w:r>
      <w:proofErr w:type="spellEnd"/>
      <w:r w:rsidRPr="00893D97">
        <w:rPr>
          <w:rFonts w:ascii="Arial" w:hAnsi="Arial"/>
          <w:color w:val="000000"/>
          <w:sz w:val="20"/>
          <w:szCs w:val="20"/>
        </w:rPr>
        <w:t xml:space="preserve">.  The range of slot offsets allowed in </w:t>
      </w:r>
      <w:proofErr w:type="spellStart"/>
      <w:r w:rsidRPr="00893D97">
        <w:rPr>
          <w:rFonts w:ascii="Arial" w:hAnsi="Arial"/>
          <w:i/>
          <w:color w:val="000000"/>
          <w:sz w:val="20"/>
          <w:szCs w:val="20"/>
        </w:rPr>
        <w:t>reportSlotOffsetList</w:t>
      </w:r>
      <w:proofErr w:type="spellEnd"/>
      <w:r w:rsidRPr="00893D97">
        <w:rPr>
          <w:rFonts w:ascii="Arial" w:hAnsi="Arial"/>
          <w:color w:val="000000"/>
          <w:sz w:val="20"/>
          <w:szCs w:val="20"/>
        </w:rPr>
        <w:t xml:space="preserve"> in Release-15 NR is from 0 to 32.  The slot offset </w:t>
      </w:r>
      <m:oMath>
        <m:r>
          <w:rPr>
            <w:rFonts w:ascii="Cambria Math" w:hAnsi="Cambria Math"/>
            <w:sz w:val="20"/>
            <w:szCs w:val="20"/>
          </w:rPr>
          <m:t>K</m:t>
        </m:r>
      </m:oMath>
      <w:r w:rsidR="00AE5F3F" w:rsidRPr="00893D97">
        <w:rPr>
          <w:rFonts w:ascii="Arial" w:hAnsi="Arial"/>
          <w:color w:val="000000"/>
          <w:sz w:val="20"/>
          <w:szCs w:val="20"/>
        </w:rPr>
        <w:t xml:space="preserve"> </w:t>
      </w:r>
      <w:r w:rsidRPr="00893D97">
        <w:rPr>
          <w:rFonts w:ascii="Arial" w:hAnsi="Arial"/>
          <w:color w:val="000000"/>
          <w:sz w:val="20"/>
          <w:szCs w:val="20"/>
        </w:rPr>
        <w:t>is selected by the activating/triggering DCI.</w:t>
      </w:r>
      <w:r w:rsidR="00AE5F3F" w:rsidRPr="00893D97">
        <w:rPr>
          <w:rFonts w:ascii="Arial" w:hAnsi="Arial"/>
          <w:color w:val="000000"/>
          <w:sz w:val="20"/>
          <w:szCs w:val="20"/>
        </w:rPr>
        <w:t xml:space="preserve">  In the NTN scenarios, </w:t>
      </w:r>
      <w:r w:rsidR="00541432">
        <w:rPr>
          <w:rFonts w:ascii="Arial" w:hAnsi="Arial"/>
          <w:color w:val="000000"/>
          <w:sz w:val="20"/>
          <w:szCs w:val="20"/>
        </w:rPr>
        <w:t xml:space="preserve">which slot a CSI report on PUSCH </w:t>
      </w:r>
      <w:r w:rsidR="00864D6A">
        <w:rPr>
          <w:rFonts w:ascii="Arial" w:hAnsi="Arial"/>
          <w:color w:val="000000"/>
          <w:sz w:val="20"/>
          <w:szCs w:val="20"/>
        </w:rPr>
        <w:t xml:space="preserve">is transmitted by the UE will depend on whether small TA or large TA is used.  Figure 4 shows an illustration of </w:t>
      </w:r>
      <w:r w:rsidR="00FB653D">
        <w:rPr>
          <w:rFonts w:ascii="Arial" w:hAnsi="Arial"/>
          <w:color w:val="000000"/>
          <w:sz w:val="20"/>
          <w:szCs w:val="20"/>
        </w:rPr>
        <w:t>CSI transmission timing in an NTN scenario, where it is seen that the NTN delay impacts the CSI transmission timing.</w:t>
      </w:r>
    </w:p>
    <w:p w14:paraId="75F53B6D" w14:textId="2739F8CB" w:rsidR="00976F9E" w:rsidRDefault="00976F9E" w:rsidP="00367151">
      <w:pPr>
        <w:jc w:val="both"/>
        <w:rPr>
          <w:rFonts w:ascii="Arial" w:hAnsi="Arial"/>
          <w:color w:val="000000"/>
          <w:sz w:val="20"/>
          <w:szCs w:val="20"/>
        </w:rPr>
      </w:pPr>
      <w:r>
        <w:rPr>
          <w:rFonts w:ascii="Arial" w:hAnsi="Arial"/>
          <w:color w:val="000000"/>
          <w:sz w:val="20"/>
          <w:szCs w:val="20"/>
        </w:rPr>
        <w:t xml:space="preserve">Table 2 presents the usable slot offset ranges for </w:t>
      </w:r>
      <w:r w:rsidR="00714163">
        <w:rPr>
          <w:rFonts w:ascii="Arial" w:hAnsi="Arial"/>
          <w:color w:val="000000"/>
          <w:sz w:val="20"/>
          <w:szCs w:val="20"/>
        </w:rPr>
        <w:t xml:space="preserve">aperiodic CSI transmission on PUSCH </w:t>
      </w:r>
      <w:r w:rsidR="00B8782E">
        <w:rPr>
          <w:rFonts w:ascii="Arial" w:hAnsi="Arial"/>
          <w:color w:val="000000"/>
          <w:sz w:val="20"/>
          <w:szCs w:val="20"/>
        </w:rPr>
        <w:t xml:space="preserve">for the two scenarios of small and large TA compensation.  The red-font entries in the table </w:t>
      </w:r>
      <w:r w:rsidR="00553772">
        <w:rPr>
          <w:rFonts w:ascii="Arial" w:hAnsi="Arial"/>
          <w:color w:val="000000"/>
          <w:sz w:val="20"/>
          <w:szCs w:val="20"/>
        </w:rPr>
        <w:t xml:space="preserve">indicate the entries </w:t>
      </w:r>
      <w:r w:rsidR="00F353D3">
        <w:rPr>
          <w:rFonts w:ascii="Arial" w:hAnsi="Arial"/>
          <w:color w:val="000000"/>
          <w:sz w:val="20"/>
          <w:szCs w:val="20"/>
        </w:rPr>
        <w:t xml:space="preserve">where none of the current slot offset ranges are usable.  </w:t>
      </w:r>
    </w:p>
    <w:p w14:paraId="760A45C1" w14:textId="68FC3467" w:rsidR="00F353D3" w:rsidRDefault="00F353D3" w:rsidP="00367151">
      <w:pPr>
        <w:jc w:val="both"/>
        <w:rPr>
          <w:rFonts w:ascii="Arial" w:hAnsi="Arial"/>
          <w:color w:val="000000"/>
          <w:sz w:val="20"/>
          <w:szCs w:val="20"/>
        </w:rPr>
      </w:pPr>
      <w:r>
        <w:rPr>
          <w:rFonts w:ascii="Arial" w:hAnsi="Arial"/>
          <w:color w:val="000000"/>
          <w:sz w:val="20"/>
          <w:szCs w:val="20"/>
        </w:rPr>
        <w:t xml:space="preserve">From Table 2, we note that </w:t>
      </w:r>
      <w:r w:rsidR="0076679B">
        <w:rPr>
          <w:rFonts w:ascii="Arial" w:hAnsi="Arial"/>
          <w:color w:val="000000"/>
          <w:sz w:val="20"/>
          <w:szCs w:val="20"/>
        </w:rPr>
        <w:t xml:space="preserve">the current range of slot offset values is </w:t>
      </w:r>
      <w:proofErr w:type="gramStart"/>
      <w:r w:rsidR="0076679B">
        <w:rPr>
          <w:rFonts w:ascii="Arial" w:hAnsi="Arial"/>
          <w:color w:val="000000"/>
          <w:sz w:val="20"/>
          <w:szCs w:val="20"/>
        </w:rPr>
        <w:t>sufficient</w:t>
      </w:r>
      <w:proofErr w:type="gramEnd"/>
      <w:r w:rsidR="0076679B">
        <w:rPr>
          <w:rFonts w:ascii="Arial" w:hAnsi="Arial"/>
          <w:color w:val="000000"/>
          <w:sz w:val="20"/>
          <w:szCs w:val="20"/>
        </w:rPr>
        <w:t xml:space="preserve"> for </w:t>
      </w:r>
      <w:r w:rsidR="00EA5549">
        <w:rPr>
          <w:rFonts w:ascii="Arial" w:hAnsi="Arial"/>
          <w:color w:val="000000"/>
          <w:sz w:val="20"/>
          <w:szCs w:val="20"/>
        </w:rPr>
        <w:t xml:space="preserve">the small TA compensation scenario.  However, the current range of slot offsets is not </w:t>
      </w:r>
      <w:proofErr w:type="gramStart"/>
      <w:r w:rsidR="00EA5549">
        <w:rPr>
          <w:rFonts w:ascii="Arial" w:hAnsi="Arial"/>
          <w:color w:val="000000"/>
          <w:sz w:val="20"/>
          <w:szCs w:val="20"/>
        </w:rPr>
        <w:t>sufficient</w:t>
      </w:r>
      <w:proofErr w:type="gramEnd"/>
      <w:r w:rsidR="00EA5549">
        <w:rPr>
          <w:rFonts w:ascii="Arial" w:hAnsi="Arial"/>
          <w:color w:val="000000"/>
          <w:sz w:val="20"/>
          <w:szCs w:val="20"/>
        </w:rPr>
        <w:t xml:space="preserve"> </w:t>
      </w:r>
      <w:r w:rsidR="000C493A">
        <w:rPr>
          <w:rFonts w:ascii="Arial" w:hAnsi="Arial"/>
          <w:color w:val="000000"/>
          <w:sz w:val="20"/>
          <w:szCs w:val="20"/>
        </w:rPr>
        <w:t xml:space="preserve">for large TA compensation scenario.  </w:t>
      </w:r>
      <w:r w:rsidR="00BB6A40">
        <w:rPr>
          <w:rFonts w:ascii="Arial" w:hAnsi="Arial"/>
          <w:color w:val="000000"/>
          <w:sz w:val="20"/>
          <w:szCs w:val="20"/>
        </w:rPr>
        <w:t xml:space="preserve">Hence, extending the range of slot offset to better support large TA compensation scenario </w:t>
      </w:r>
      <w:r w:rsidR="00C64FEF">
        <w:rPr>
          <w:rFonts w:ascii="Arial" w:hAnsi="Arial"/>
          <w:color w:val="000000"/>
          <w:sz w:val="20"/>
          <w:szCs w:val="20"/>
        </w:rPr>
        <w:t xml:space="preserve">can be considered.  This can be done by </w:t>
      </w:r>
      <w:r w:rsidR="002D61D3">
        <w:rPr>
          <w:rFonts w:ascii="Arial" w:hAnsi="Arial"/>
          <w:color w:val="000000"/>
          <w:sz w:val="20"/>
          <w:szCs w:val="20"/>
        </w:rPr>
        <w:t xml:space="preserve">either extending the range of slot offset values or introducing a configurable offset </w:t>
      </w:r>
      <w:r w:rsidR="00DE3657">
        <w:rPr>
          <w:rFonts w:ascii="Arial" w:hAnsi="Arial"/>
          <w:color w:val="000000"/>
          <w:sz w:val="20"/>
          <w:szCs w:val="20"/>
        </w:rPr>
        <w:t>which can be added to the slot offset.  Hence, we make the following proposal:</w:t>
      </w:r>
    </w:p>
    <w:p w14:paraId="02142B7F" w14:textId="678F4223" w:rsidR="00C1142C" w:rsidRDefault="00C1142C" w:rsidP="00C1142C">
      <w:pPr>
        <w:pStyle w:val="BodyText"/>
        <w:rPr>
          <w:b/>
          <w:i/>
          <w:sz w:val="20"/>
          <w:szCs w:val="20"/>
        </w:rPr>
      </w:pPr>
      <w:r w:rsidRPr="00613726">
        <w:rPr>
          <w:b/>
          <w:i/>
          <w:sz w:val="20"/>
          <w:szCs w:val="20"/>
        </w:rPr>
        <w:t xml:space="preserve">Proposal </w:t>
      </w:r>
      <w:r w:rsidR="00E4794A" w:rsidRPr="00613726">
        <w:rPr>
          <w:b/>
          <w:i/>
          <w:sz w:val="20"/>
          <w:szCs w:val="20"/>
        </w:rPr>
        <w:t>2</w:t>
      </w:r>
      <w:r w:rsidRPr="00613726">
        <w:rPr>
          <w:b/>
          <w:i/>
          <w:sz w:val="20"/>
          <w:szCs w:val="20"/>
        </w:rPr>
        <w:t xml:space="preserve">:  For aperiodic CSI transmission timing with large TA, either extend the range of </w:t>
      </w:r>
      <w:r w:rsidR="00E4794A" w:rsidRPr="00613726">
        <w:rPr>
          <w:b/>
          <w:i/>
          <w:sz w:val="20"/>
          <w:szCs w:val="20"/>
        </w:rPr>
        <w:t xml:space="preserve">slot offset </w:t>
      </w:r>
      <w:r w:rsidRPr="00613726">
        <w:rPr>
          <w:b/>
          <w:i/>
          <w:sz w:val="20"/>
          <w:szCs w:val="20"/>
        </w:rPr>
        <w:t>values or introduce a configurable offset to compensate for full RTT.</w:t>
      </w:r>
    </w:p>
    <w:p w14:paraId="3AF5C85B" w14:textId="59727783" w:rsidR="00C1142C" w:rsidRDefault="00C1142C" w:rsidP="00367151">
      <w:pPr>
        <w:jc w:val="both"/>
        <w:rPr>
          <w:rFonts w:ascii="Arial" w:hAnsi="Arial"/>
          <w:color w:val="000000"/>
          <w:sz w:val="20"/>
          <w:szCs w:val="20"/>
          <w:highlight w:val="yellow"/>
        </w:rPr>
      </w:pPr>
    </w:p>
    <w:p w14:paraId="175FBE13" w14:textId="2475FD43" w:rsidR="00BD1709" w:rsidRDefault="006A5A57" w:rsidP="0066020F">
      <w:pPr>
        <w:jc w:val="center"/>
        <w:rPr>
          <w:rFonts w:ascii="Arial" w:hAnsi="Arial"/>
          <w:color w:val="000000"/>
          <w:sz w:val="20"/>
          <w:szCs w:val="20"/>
          <w:highlight w:val="yellow"/>
        </w:rPr>
      </w:pPr>
      <w:r>
        <w:rPr>
          <w:noProof/>
        </w:rPr>
        <w:drawing>
          <wp:inline distT="0" distB="0" distL="0" distR="0" wp14:anchorId="61F7CADA" wp14:editId="01FEBBC4">
            <wp:extent cx="4572000" cy="209982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72000" cy="2099828"/>
                    </a:xfrm>
                    <a:prstGeom prst="rect">
                      <a:avLst/>
                    </a:prstGeom>
                  </pic:spPr>
                </pic:pic>
              </a:graphicData>
            </a:graphic>
          </wp:inline>
        </w:drawing>
      </w:r>
    </w:p>
    <w:p w14:paraId="525103F2" w14:textId="3F9AFFAC" w:rsidR="0066020F" w:rsidRDefault="0066020F" w:rsidP="0066020F">
      <w:pPr>
        <w:pStyle w:val="BodyText"/>
        <w:jc w:val="center"/>
        <w:rPr>
          <w:sz w:val="20"/>
        </w:rPr>
      </w:pPr>
      <w:r w:rsidRPr="00B87044">
        <w:rPr>
          <w:sz w:val="20"/>
        </w:rPr>
        <w:t xml:space="preserve">Figure </w:t>
      </w:r>
      <w:r>
        <w:rPr>
          <w:sz w:val="20"/>
        </w:rPr>
        <w:t>4</w:t>
      </w:r>
      <w:r w:rsidRPr="00B87044">
        <w:rPr>
          <w:sz w:val="20"/>
        </w:rPr>
        <w:t xml:space="preserve">: </w:t>
      </w:r>
      <w:r>
        <w:rPr>
          <w:sz w:val="20"/>
        </w:rPr>
        <w:t>Aperiodic CSI transmission in NTN scenario</w:t>
      </w:r>
      <w:r w:rsidRPr="00B87044">
        <w:rPr>
          <w:sz w:val="20"/>
        </w:rPr>
        <w:t>.</w:t>
      </w:r>
    </w:p>
    <w:p w14:paraId="0BCA3018" w14:textId="0B54FC97" w:rsidR="00BD1709" w:rsidRDefault="00BD1709" w:rsidP="00367151">
      <w:pPr>
        <w:jc w:val="both"/>
        <w:rPr>
          <w:rFonts w:ascii="Arial" w:hAnsi="Arial"/>
          <w:color w:val="000000"/>
          <w:sz w:val="20"/>
          <w:szCs w:val="20"/>
          <w:highlight w:val="yellow"/>
        </w:rPr>
      </w:pPr>
    </w:p>
    <w:p w14:paraId="5CF930E1" w14:textId="1ECCE9E9" w:rsidR="00BD1709" w:rsidRDefault="00BD1709" w:rsidP="00BD1709">
      <w:pPr>
        <w:pStyle w:val="Caption"/>
        <w:keepNext/>
        <w:jc w:val="center"/>
      </w:pPr>
      <w:r>
        <w:t xml:space="preserve">Table </w:t>
      </w:r>
      <w:r w:rsidR="004E5DA6">
        <w:fldChar w:fldCharType="begin"/>
      </w:r>
      <w:r w:rsidR="004E5DA6">
        <w:instrText xml:space="preserve"> SEQ Table \* ARABIC </w:instrText>
      </w:r>
      <w:r w:rsidR="004E5DA6">
        <w:fldChar w:fldCharType="separate"/>
      </w:r>
      <w:r w:rsidR="00527356">
        <w:rPr>
          <w:noProof/>
        </w:rPr>
        <w:t>2</w:t>
      </w:r>
      <w:r w:rsidR="004E5DA6">
        <w:rPr>
          <w:noProof/>
        </w:rPr>
        <w:fldChar w:fldCharType="end"/>
      </w:r>
      <w:r>
        <w:t xml:space="preserve"> Usable </w:t>
      </w:r>
      <w:r w:rsidR="0037011E">
        <w:t>slot offset</w:t>
      </w:r>
      <w:r>
        <w:t xml:space="preserve"> range</w:t>
      </w:r>
      <w:r w:rsidR="0037011E">
        <w:t>s</w:t>
      </w:r>
      <w:r>
        <w:t xml:space="preserve"> for transmission timing of </w:t>
      </w:r>
      <w:r w:rsidR="00CE158E">
        <w:t>CSI</w:t>
      </w:r>
      <w:r>
        <w:t xml:space="preserve"> on PU</w:t>
      </w:r>
      <w:r w:rsidR="00CE158E">
        <w:t>S</w:t>
      </w:r>
      <w:r>
        <w:t>CH.</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594"/>
        <w:gridCol w:w="2343"/>
        <w:gridCol w:w="2343"/>
        <w:gridCol w:w="2345"/>
      </w:tblGrid>
      <w:tr w:rsidR="002A7C7D" w:rsidRPr="00BC36CB" w14:paraId="6C54A6C3" w14:textId="77777777" w:rsidTr="00613726">
        <w:trPr>
          <w:trHeight w:val="469"/>
        </w:trPr>
        <w:tc>
          <w:tcPr>
            <w:tcW w:w="1348" w:type="pct"/>
            <w:shd w:val="clear" w:color="auto" w:fill="auto"/>
            <w:tcMar>
              <w:top w:w="72" w:type="dxa"/>
              <w:left w:w="144" w:type="dxa"/>
              <w:bottom w:w="72" w:type="dxa"/>
              <w:right w:w="144" w:type="dxa"/>
            </w:tcMar>
            <w:hideMark/>
          </w:tcPr>
          <w:p w14:paraId="5ED4FE94" w14:textId="77777777" w:rsidR="002A7C7D" w:rsidRPr="00A91AB3" w:rsidRDefault="002A7C7D" w:rsidP="005748C9">
            <w:pPr>
              <w:rPr>
                <w:rFonts w:cs="Arial"/>
                <w:sz w:val="16"/>
                <w:szCs w:val="16"/>
              </w:rPr>
            </w:pPr>
            <w:r w:rsidRPr="005748C9">
              <w:rPr>
                <w:rFonts w:cs="Arial"/>
                <w:b/>
                <w:bCs/>
                <w:kern w:val="24"/>
                <w:sz w:val="16"/>
                <w:szCs w:val="16"/>
              </w:rPr>
              <w:t>TA scheme</w:t>
            </w:r>
          </w:p>
        </w:tc>
        <w:tc>
          <w:tcPr>
            <w:tcW w:w="1217" w:type="pct"/>
            <w:shd w:val="clear" w:color="auto" w:fill="auto"/>
            <w:tcMar>
              <w:top w:w="72" w:type="dxa"/>
              <w:left w:w="144" w:type="dxa"/>
              <w:bottom w:w="72" w:type="dxa"/>
              <w:right w:w="144" w:type="dxa"/>
            </w:tcMar>
            <w:hideMark/>
          </w:tcPr>
          <w:p w14:paraId="2C37619D" w14:textId="77777777" w:rsidR="002A7C7D" w:rsidRPr="00A91AB3" w:rsidRDefault="002A7C7D" w:rsidP="005748C9">
            <w:pPr>
              <w:rPr>
                <w:rFonts w:cs="Arial"/>
                <w:sz w:val="16"/>
                <w:szCs w:val="16"/>
              </w:rPr>
            </w:pPr>
            <w:r w:rsidRPr="005748C9">
              <w:rPr>
                <w:rFonts w:cs="Arial"/>
                <w:b/>
                <w:bCs/>
                <w:kern w:val="24"/>
                <w:sz w:val="16"/>
                <w:szCs w:val="16"/>
              </w:rPr>
              <w:t>Numerology</w:t>
            </w:r>
          </w:p>
        </w:tc>
        <w:tc>
          <w:tcPr>
            <w:tcW w:w="1217" w:type="pct"/>
            <w:shd w:val="clear" w:color="auto" w:fill="auto"/>
            <w:tcMar>
              <w:top w:w="72" w:type="dxa"/>
              <w:left w:w="144" w:type="dxa"/>
              <w:bottom w:w="72" w:type="dxa"/>
              <w:right w:w="144" w:type="dxa"/>
            </w:tcMar>
            <w:hideMark/>
          </w:tcPr>
          <w:p w14:paraId="63A88273" w14:textId="77777777" w:rsidR="002A7C7D" w:rsidRPr="00A91AB3" w:rsidRDefault="002A7C7D" w:rsidP="005748C9">
            <w:pPr>
              <w:rPr>
                <w:rFonts w:cs="Arial"/>
                <w:sz w:val="16"/>
                <w:szCs w:val="16"/>
              </w:rPr>
            </w:pPr>
            <w:r w:rsidRPr="005748C9">
              <w:rPr>
                <w:rFonts w:cs="Arial"/>
                <w:b/>
                <w:bCs/>
                <w:kern w:val="24"/>
                <w:sz w:val="16"/>
                <w:szCs w:val="16"/>
              </w:rPr>
              <w:t>Max TA in the unit of slot</w:t>
            </w:r>
          </w:p>
        </w:tc>
        <w:tc>
          <w:tcPr>
            <w:tcW w:w="1218" w:type="pct"/>
            <w:shd w:val="clear" w:color="auto" w:fill="auto"/>
            <w:tcMar>
              <w:top w:w="72" w:type="dxa"/>
              <w:left w:w="144" w:type="dxa"/>
              <w:bottom w:w="72" w:type="dxa"/>
              <w:right w:w="144" w:type="dxa"/>
            </w:tcMar>
            <w:hideMark/>
          </w:tcPr>
          <w:p w14:paraId="52A15B61" w14:textId="577DCA7C" w:rsidR="002A7C7D" w:rsidRPr="00A91AB3" w:rsidRDefault="002A7C7D" w:rsidP="005748C9">
            <w:pPr>
              <w:rPr>
                <w:rFonts w:cs="Arial"/>
                <w:sz w:val="16"/>
                <w:szCs w:val="16"/>
              </w:rPr>
            </w:pPr>
            <w:r w:rsidRPr="005748C9">
              <w:rPr>
                <w:rFonts w:cs="Arial"/>
                <w:b/>
                <w:bCs/>
                <w:kern w:val="24"/>
                <w:sz w:val="16"/>
                <w:szCs w:val="16"/>
              </w:rPr>
              <w:t xml:space="preserve">Usable </w:t>
            </w:r>
            <w:r w:rsidR="007A7C23">
              <w:rPr>
                <w:rFonts w:cs="Arial"/>
                <w:b/>
                <w:bCs/>
                <w:kern w:val="24"/>
                <w:sz w:val="16"/>
                <w:szCs w:val="16"/>
              </w:rPr>
              <w:t>slot offset</w:t>
            </w:r>
            <w:r w:rsidRPr="005748C9">
              <w:rPr>
                <w:rFonts w:cs="Arial"/>
                <w:b/>
                <w:bCs/>
                <w:kern w:val="24"/>
                <w:sz w:val="16"/>
                <w:szCs w:val="16"/>
              </w:rPr>
              <w:t xml:space="preserve"> range</w:t>
            </w:r>
            <w:r w:rsidR="007A7C23">
              <w:rPr>
                <w:rFonts w:cs="Arial"/>
                <w:b/>
                <w:bCs/>
                <w:kern w:val="24"/>
                <w:sz w:val="16"/>
                <w:szCs w:val="16"/>
              </w:rPr>
              <w:t>s</w:t>
            </w:r>
            <w:r w:rsidRPr="005748C9">
              <w:rPr>
                <w:rFonts w:cs="Arial"/>
                <w:b/>
                <w:bCs/>
                <w:kern w:val="24"/>
                <w:sz w:val="16"/>
                <w:szCs w:val="16"/>
              </w:rPr>
              <w:t xml:space="preserve"> from </w:t>
            </w:r>
            <w:r>
              <w:rPr>
                <w:rFonts w:cs="Arial"/>
                <w:b/>
                <w:bCs/>
                <w:kern w:val="24"/>
                <w:sz w:val="16"/>
                <w:szCs w:val="16"/>
              </w:rPr>
              <w:t>0</w:t>
            </w:r>
            <w:r w:rsidRPr="005748C9">
              <w:rPr>
                <w:rFonts w:cs="Arial"/>
                <w:b/>
                <w:bCs/>
                <w:kern w:val="24"/>
                <w:sz w:val="16"/>
                <w:szCs w:val="16"/>
              </w:rPr>
              <w:t xml:space="preserve">, …, </w:t>
            </w:r>
            <w:r>
              <w:rPr>
                <w:rFonts w:cs="Arial"/>
                <w:b/>
                <w:bCs/>
                <w:kern w:val="24"/>
                <w:sz w:val="16"/>
                <w:szCs w:val="16"/>
              </w:rPr>
              <w:t>32</w:t>
            </w:r>
            <w:r w:rsidRPr="005748C9">
              <w:rPr>
                <w:rFonts w:cs="Arial"/>
                <w:b/>
                <w:bCs/>
                <w:kern w:val="24"/>
                <w:sz w:val="16"/>
                <w:szCs w:val="16"/>
              </w:rPr>
              <w:t xml:space="preserve"> </w:t>
            </w:r>
          </w:p>
        </w:tc>
      </w:tr>
      <w:tr w:rsidR="002A7C7D" w:rsidRPr="00BC36CB" w14:paraId="4835CC5D" w14:textId="77777777" w:rsidTr="00613726">
        <w:trPr>
          <w:trHeight w:val="20"/>
        </w:trPr>
        <w:tc>
          <w:tcPr>
            <w:tcW w:w="1348" w:type="pct"/>
            <w:vMerge w:val="restart"/>
            <w:shd w:val="clear" w:color="auto" w:fill="auto"/>
            <w:tcMar>
              <w:top w:w="72" w:type="dxa"/>
              <w:left w:w="144" w:type="dxa"/>
              <w:bottom w:w="72" w:type="dxa"/>
              <w:right w:w="144" w:type="dxa"/>
            </w:tcMar>
            <w:vAlign w:val="center"/>
            <w:hideMark/>
          </w:tcPr>
          <w:p w14:paraId="068E6986" w14:textId="77777777" w:rsidR="002A7C7D" w:rsidRPr="00BC36CB" w:rsidRDefault="002A7C7D" w:rsidP="005748C9">
            <w:pPr>
              <w:rPr>
                <w:rFonts w:cs="Arial"/>
                <w:sz w:val="16"/>
                <w:szCs w:val="16"/>
              </w:rPr>
            </w:pPr>
            <w:r w:rsidRPr="00BC36CB">
              <w:rPr>
                <w:rFonts w:cs="Arial"/>
                <w:color w:val="000000" w:themeColor="dark1"/>
                <w:kern w:val="24"/>
                <w:sz w:val="16"/>
                <w:szCs w:val="16"/>
              </w:rPr>
              <w:t xml:space="preserve">TA compensating for differential RTT up to 1.6 </w:t>
            </w:r>
            <w:proofErr w:type="gramStart"/>
            <w:r w:rsidRPr="00BC36CB">
              <w:rPr>
                <w:rFonts w:cs="Arial"/>
                <w:color w:val="000000" w:themeColor="dark1"/>
                <w:kern w:val="24"/>
                <w:sz w:val="16"/>
                <w:szCs w:val="16"/>
              </w:rPr>
              <w:t>ms</w:t>
            </w:r>
            <w:r>
              <w:rPr>
                <w:rFonts w:cs="Arial"/>
                <w:color w:val="000000" w:themeColor="dark1"/>
                <w:kern w:val="24"/>
                <w:sz w:val="16"/>
                <w:szCs w:val="16"/>
              </w:rPr>
              <w:t xml:space="preserve">  </w:t>
            </w:r>
            <w:r w:rsidRPr="00BC36CB">
              <w:rPr>
                <w:rFonts w:cs="Arial"/>
                <w:color w:val="000000" w:themeColor="dark1"/>
                <w:kern w:val="24"/>
                <w:sz w:val="16"/>
                <w:szCs w:val="16"/>
              </w:rPr>
              <w:t>(</w:t>
            </w:r>
            <w:proofErr w:type="gramEnd"/>
            <w:r w:rsidRPr="00BC36CB">
              <w:rPr>
                <w:rFonts w:cs="Arial"/>
                <w:color w:val="000000" w:themeColor="dark1"/>
                <w:kern w:val="24"/>
                <w:sz w:val="16"/>
                <w:szCs w:val="16"/>
              </w:rPr>
              <w:t>small TA)</w:t>
            </w:r>
          </w:p>
        </w:tc>
        <w:tc>
          <w:tcPr>
            <w:tcW w:w="1217" w:type="pct"/>
            <w:shd w:val="clear" w:color="auto" w:fill="auto"/>
            <w:tcMar>
              <w:top w:w="72" w:type="dxa"/>
              <w:left w:w="144" w:type="dxa"/>
              <w:bottom w:w="72" w:type="dxa"/>
              <w:right w:w="144" w:type="dxa"/>
            </w:tcMar>
            <w:hideMark/>
          </w:tcPr>
          <w:p w14:paraId="2072F5B3" w14:textId="77777777" w:rsidR="002A7C7D" w:rsidRPr="00BC36CB" w:rsidRDefault="002A7C7D" w:rsidP="005748C9">
            <w:pPr>
              <w:rPr>
                <w:rFonts w:cs="Arial"/>
                <w:sz w:val="16"/>
                <w:szCs w:val="16"/>
              </w:rPr>
            </w:pPr>
            <w:r w:rsidRPr="00BC36CB">
              <w:rPr>
                <w:rFonts w:cs="Arial"/>
                <w:color w:val="000000" w:themeColor="dark1"/>
                <w:kern w:val="24"/>
                <w:sz w:val="16"/>
                <w:szCs w:val="16"/>
              </w:rPr>
              <w:t>15 kHz</w:t>
            </w:r>
          </w:p>
        </w:tc>
        <w:tc>
          <w:tcPr>
            <w:tcW w:w="1217" w:type="pct"/>
            <w:shd w:val="clear" w:color="auto" w:fill="auto"/>
            <w:tcMar>
              <w:top w:w="72" w:type="dxa"/>
              <w:left w:w="144" w:type="dxa"/>
              <w:bottom w:w="72" w:type="dxa"/>
              <w:right w:w="144" w:type="dxa"/>
            </w:tcMar>
            <w:hideMark/>
          </w:tcPr>
          <w:p w14:paraId="75489A75" w14:textId="77777777" w:rsidR="002A7C7D" w:rsidRPr="00BC36CB" w:rsidRDefault="002A7C7D" w:rsidP="005748C9">
            <w:pPr>
              <w:rPr>
                <w:rFonts w:cs="Arial"/>
                <w:sz w:val="16"/>
                <w:szCs w:val="16"/>
              </w:rPr>
            </w:pPr>
            <w:r w:rsidRPr="00BC36CB">
              <w:rPr>
                <w:rFonts w:cs="Arial"/>
                <w:color w:val="000000" w:themeColor="dark1"/>
                <w:kern w:val="24"/>
                <w:sz w:val="16"/>
                <w:szCs w:val="16"/>
              </w:rPr>
              <w:t>1.6 slots</w:t>
            </w:r>
          </w:p>
        </w:tc>
        <w:tc>
          <w:tcPr>
            <w:tcW w:w="1218" w:type="pct"/>
            <w:shd w:val="clear" w:color="auto" w:fill="auto"/>
            <w:tcMar>
              <w:top w:w="72" w:type="dxa"/>
              <w:left w:w="144" w:type="dxa"/>
              <w:bottom w:w="72" w:type="dxa"/>
              <w:right w:w="144" w:type="dxa"/>
            </w:tcMar>
            <w:hideMark/>
          </w:tcPr>
          <w:p w14:paraId="7D5A70D0" w14:textId="568EF9E2" w:rsidR="002A7C7D" w:rsidRPr="00BC36CB" w:rsidRDefault="00FD208E" w:rsidP="005748C9">
            <w:pPr>
              <w:rPr>
                <w:rFonts w:cs="Arial"/>
                <w:sz w:val="16"/>
                <w:szCs w:val="16"/>
              </w:rPr>
            </w:pPr>
            <w:r>
              <w:rPr>
                <w:rFonts w:cs="Arial"/>
                <w:color w:val="000000" w:themeColor="dark1"/>
                <w:kern w:val="24"/>
                <w:sz w:val="16"/>
                <w:szCs w:val="16"/>
              </w:rPr>
              <w:t>1</w:t>
            </w:r>
            <w:r w:rsidR="002A7C7D" w:rsidRPr="00BC36CB">
              <w:rPr>
                <w:rFonts w:cs="Arial"/>
                <w:color w:val="000000" w:themeColor="dark1"/>
                <w:kern w:val="24"/>
                <w:sz w:val="16"/>
                <w:szCs w:val="16"/>
              </w:rPr>
              <w:t xml:space="preserve">, …, </w:t>
            </w:r>
            <w:r w:rsidR="006D598E">
              <w:rPr>
                <w:rFonts w:cs="Arial"/>
                <w:color w:val="000000" w:themeColor="dark1"/>
                <w:kern w:val="24"/>
                <w:sz w:val="16"/>
                <w:szCs w:val="16"/>
              </w:rPr>
              <w:t>32</w:t>
            </w:r>
          </w:p>
        </w:tc>
      </w:tr>
      <w:tr w:rsidR="002A7C7D" w:rsidRPr="00BC36CB" w14:paraId="65A877E4" w14:textId="77777777" w:rsidTr="00613726">
        <w:trPr>
          <w:trHeight w:val="342"/>
        </w:trPr>
        <w:tc>
          <w:tcPr>
            <w:tcW w:w="1348" w:type="pct"/>
            <w:vMerge/>
            <w:shd w:val="clear" w:color="auto" w:fill="auto"/>
            <w:vAlign w:val="center"/>
            <w:hideMark/>
          </w:tcPr>
          <w:p w14:paraId="52EDF821" w14:textId="77777777" w:rsidR="002A7C7D" w:rsidRPr="00BC36CB" w:rsidRDefault="002A7C7D" w:rsidP="005748C9">
            <w:pPr>
              <w:rPr>
                <w:rFonts w:cs="Arial"/>
                <w:sz w:val="16"/>
                <w:szCs w:val="16"/>
              </w:rPr>
            </w:pPr>
          </w:p>
        </w:tc>
        <w:tc>
          <w:tcPr>
            <w:tcW w:w="1217" w:type="pct"/>
            <w:shd w:val="clear" w:color="auto" w:fill="auto"/>
            <w:tcMar>
              <w:top w:w="72" w:type="dxa"/>
              <w:left w:w="144" w:type="dxa"/>
              <w:bottom w:w="72" w:type="dxa"/>
              <w:right w:w="144" w:type="dxa"/>
            </w:tcMar>
            <w:hideMark/>
          </w:tcPr>
          <w:p w14:paraId="0E54FCDB" w14:textId="77777777" w:rsidR="002A7C7D" w:rsidRPr="00BC36CB" w:rsidRDefault="002A7C7D" w:rsidP="005748C9">
            <w:pPr>
              <w:rPr>
                <w:rFonts w:cs="Arial"/>
                <w:sz w:val="16"/>
                <w:szCs w:val="16"/>
              </w:rPr>
            </w:pPr>
            <w:r w:rsidRPr="00BC36CB">
              <w:rPr>
                <w:rFonts w:cs="Arial"/>
                <w:color w:val="000000" w:themeColor="dark1"/>
                <w:kern w:val="24"/>
                <w:sz w:val="16"/>
                <w:szCs w:val="16"/>
              </w:rPr>
              <w:t>30 kHz</w:t>
            </w:r>
          </w:p>
        </w:tc>
        <w:tc>
          <w:tcPr>
            <w:tcW w:w="1217" w:type="pct"/>
            <w:shd w:val="clear" w:color="auto" w:fill="auto"/>
            <w:tcMar>
              <w:top w:w="72" w:type="dxa"/>
              <w:left w:w="144" w:type="dxa"/>
              <w:bottom w:w="72" w:type="dxa"/>
              <w:right w:w="144" w:type="dxa"/>
            </w:tcMar>
            <w:hideMark/>
          </w:tcPr>
          <w:p w14:paraId="6D75227D" w14:textId="77777777" w:rsidR="002A7C7D" w:rsidRPr="00BC36CB" w:rsidRDefault="002A7C7D" w:rsidP="005748C9">
            <w:pPr>
              <w:rPr>
                <w:rFonts w:cs="Arial"/>
                <w:sz w:val="16"/>
                <w:szCs w:val="16"/>
              </w:rPr>
            </w:pPr>
            <w:r w:rsidRPr="00BC36CB">
              <w:rPr>
                <w:rFonts w:cs="Arial"/>
                <w:color w:val="000000" w:themeColor="dark1"/>
                <w:kern w:val="24"/>
                <w:sz w:val="16"/>
                <w:szCs w:val="16"/>
              </w:rPr>
              <w:t>3.2 slots</w:t>
            </w:r>
          </w:p>
        </w:tc>
        <w:tc>
          <w:tcPr>
            <w:tcW w:w="1218" w:type="pct"/>
            <w:shd w:val="clear" w:color="auto" w:fill="auto"/>
            <w:tcMar>
              <w:top w:w="72" w:type="dxa"/>
              <w:left w:w="144" w:type="dxa"/>
              <w:bottom w:w="72" w:type="dxa"/>
              <w:right w:w="144" w:type="dxa"/>
            </w:tcMar>
            <w:hideMark/>
          </w:tcPr>
          <w:p w14:paraId="41B919CF" w14:textId="46154870" w:rsidR="002A7C7D" w:rsidRPr="00BC36CB" w:rsidRDefault="002A7C7D" w:rsidP="005748C9">
            <w:pPr>
              <w:rPr>
                <w:rFonts w:cs="Arial"/>
                <w:sz w:val="16"/>
                <w:szCs w:val="16"/>
              </w:rPr>
            </w:pPr>
            <w:r w:rsidRPr="00BC36CB">
              <w:rPr>
                <w:rFonts w:cs="Arial"/>
                <w:color w:val="000000" w:themeColor="dark1"/>
                <w:kern w:val="24"/>
                <w:sz w:val="16"/>
                <w:szCs w:val="16"/>
              </w:rPr>
              <w:t xml:space="preserve">3, …, </w:t>
            </w:r>
            <w:r w:rsidR="006D598E">
              <w:rPr>
                <w:rFonts w:cs="Arial"/>
                <w:color w:val="000000" w:themeColor="dark1"/>
                <w:kern w:val="24"/>
                <w:sz w:val="16"/>
                <w:szCs w:val="16"/>
              </w:rPr>
              <w:t>32</w:t>
            </w:r>
          </w:p>
        </w:tc>
      </w:tr>
      <w:tr w:rsidR="002A7C7D" w:rsidRPr="00BC36CB" w14:paraId="12B7B579" w14:textId="77777777" w:rsidTr="00613726">
        <w:trPr>
          <w:trHeight w:val="342"/>
        </w:trPr>
        <w:tc>
          <w:tcPr>
            <w:tcW w:w="1348" w:type="pct"/>
            <w:vMerge/>
            <w:shd w:val="clear" w:color="auto" w:fill="auto"/>
            <w:vAlign w:val="center"/>
            <w:hideMark/>
          </w:tcPr>
          <w:p w14:paraId="0B0C4511" w14:textId="77777777" w:rsidR="002A7C7D" w:rsidRPr="00BC36CB" w:rsidRDefault="002A7C7D" w:rsidP="005748C9">
            <w:pPr>
              <w:rPr>
                <w:rFonts w:cs="Arial"/>
                <w:sz w:val="16"/>
                <w:szCs w:val="16"/>
              </w:rPr>
            </w:pPr>
          </w:p>
        </w:tc>
        <w:tc>
          <w:tcPr>
            <w:tcW w:w="1217" w:type="pct"/>
            <w:shd w:val="clear" w:color="auto" w:fill="auto"/>
            <w:tcMar>
              <w:top w:w="72" w:type="dxa"/>
              <w:left w:w="144" w:type="dxa"/>
              <w:bottom w:w="72" w:type="dxa"/>
              <w:right w:w="144" w:type="dxa"/>
            </w:tcMar>
            <w:hideMark/>
          </w:tcPr>
          <w:p w14:paraId="70C24B7B" w14:textId="77777777" w:rsidR="002A7C7D" w:rsidRPr="00BC36CB" w:rsidRDefault="002A7C7D" w:rsidP="005748C9">
            <w:pPr>
              <w:rPr>
                <w:rFonts w:cs="Arial"/>
                <w:sz w:val="16"/>
                <w:szCs w:val="16"/>
              </w:rPr>
            </w:pPr>
            <w:r w:rsidRPr="00BC36CB">
              <w:rPr>
                <w:rFonts w:cs="Arial"/>
                <w:color w:val="000000" w:themeColor="dark1"/>
                <w:kern w:val="24"/>
                <w:sz w:val="16"/>
                <w:szCs w:val="16"/>
              </w:rPr>
              <w:t>60 kHz</w:t>
            </w:r>
          </w:p>
        </w:tc>
        <w:tc>
          <w:tcPr>
            <w:tcW w:w="1217" w:type="pct"/>
            <w:shd w:val="clear" w:color="auto" w:fill="auto"/>
            <w:tcMar>
              <w:top w:w="72" w:type="dxa"/>
              <w:left w:w="144" w:type="dxa"/>
              <w:bottom w:w="72" w:type="dxa"/>
              <w:right w:w="144" w:type="dxa"/>
            </w:tcMar>
            <w:hideMark/>
          </w:tcPr>
          <w:p w14:paraId="68D69143" w14:textId="77777777" w:rsidR="002A7C7D" w:rsidRPr="00BC36CB" w:rsidRDefault="002A7C7D" w:rsidP="005748C9">
            <w:pPr>
              <w:rPr>
                <w:rFonts w:cs="Arial"/>
                <w:sz w:val="16"/>
                <w:szCs w:val="16"/>
              </w:rPr>
            </w:pPr>
            <w:r w:rsidRPr="00BC36CB">
              <w:rPr>
                <w:rFonts w:cs="Arial"/>
                <w:color w:val="000000" w:themeColor="dark1"/>
                <w:kern w:val="24"/>
                <w:sz w:val="16"/>
                <w:szCs w:val="16"/>
              </w:rPr>
              <w:t>6.4 slots</w:t>
            </w:r>
          </w:p>
        </w:tc>
        <w:tc>
          <w:tcPr>
            <w:tcW w:w="1218" w:type="pct"/>
            <w:shd w:val="clear" w:color="auto" w:fill="auto"/>
            <w:tcMar>
              <w:top w:w="72" w:type="dxa"/>
              <w:left w:w="144" w:type="dxa"/>
              <w:bottom w:w="72" w:type="dxa"/>
              <w:right w:w="144" w:type="dxa"/>
            </w:tcMar>
            <w:hideMark/>
          </w:tcPr>
          <w:p w14:paraId="0A8FA09E" w14:textId="4AE8E412" w:rsidR="002A7C7D" w:rsidRPr="00BC36CB" w:rsidRDefault="004C2E0A" w:rsidP="005748C9">
            <w:pPr>
              <w:rPr>
                <w:rFonts w:cs="Arial"/>
                <w:sz w:val="16"/>
                <w:szCs w:val="16"/>
              </w:rPr>
            </w:pPr>
            <w:r>
              <w:rPr>
                <w:rFonts w:cs="Arial"/>
                <w:kern w:val="24"/>
                <w:sz w:val="16"/>
                <w:szCs w:val="16"/>
              </w:rPr>
              <w:t>6</w:t>
            </w:r>
            <w:r w:rsidR="006D598E" w:rsidRPr="00613726">
              <w:rPr>
                <w:rFonts w:cs="Arial"/>
                <w:kern w:val="24"/>
                <w:sz w:val="16"/>
                <w:szCs w:val="16"/>
              </w:rPr>
              <w:t>, …, 32</w:t>
            </w:r>
          </w:p>
        </w:tc>
      </w:tr>
      <w:tr w:rsidR="002A7C7D" w:rsidRPr="00BC36CB" w14:paraId="5A92CCDB" w14:textId="77777777" w:rsidTr="00613726">
        <w:trPr>
          <w:trHeight w:val="342"/>
        </w:trPr>
        <w:tc>
          <w:tcPr>
            <w:tcW w:w="1348" w:type="pct"/>
            <w:vMerge/>
            <w:shd w:val="clear" w:color="auto" w:fill="auto"/>
            <w:vAlign w:val="center"/>
            <w:hideMark/>
          </w:tcPr>
          <w:p w14:paraId="2CB98B45" w14:textId="77777777" w:rsidR="002A7C7D" w:rsidRPr="00BC36CB" w:rsidRDefault="002A7C7D" w:rsidP="005748C9">
            <w:pPr>
              <w:rPr>
                <w:rFonts w:cs="Arial"/>
                <w:sz w:val="16"/>
                <w:szCs w:val="16"/>
              </w:rPr>
            </w:pPr>
          </w:p>
        </w:tc>
        <w:tc>
          <w:tcPr>
            <w:tcW w:w="1217" w:type="pct"/>
            <w:shd w:val="clear" w:color="auto" w:fill="auto"/>
            <w:tcMar>
              <w:top w:w="72" w:type="dxa"/>
              <w:left w:w="144" w:type="dxa"/>
              <w:bottom w:w="72" w:type="dxa"/>
              <w:right w:w="144" w:type="dxa"/>
            </w:tcMar>
            <w:hideMark/>
          </w:tcPr>
          <w:p w14:paraId="6520A543" w14:textId="77777777" w:rsidR="002A7C7D" w:rsidRPr="00BC36CB" w:rsidRDefault="002A7C7D" w:rsidP="005748C9">
            <w:pPr>
              <w:rPr>
                <w:rFonts w:cs="Arial"/>
                <w:sz w:val="16"/>
                <w:szCs w:val="16"/>
              </w:rPr>
            </w:pPr>
            <w:r w:rsidRPr="00BC36CB">
              <w:rPr>
                <w:rFonts w:cs="Arial"/>
                <w:color w:val="000000" w:themeColor="dark1"/>
                <w:kern w:val="24"/>
                <w:sz w:val="16"/>
                <w:szCs w:val="16"/>
              </w:rPr>
              <w:t>120 kHz</w:t>
            </w:r>
          </w:p>
        </w:tc>
        <w:tc>
          <w:tcPr>
            <w:tcW w:w="1217" w:type="pct"/>
            <w:shd w:val="clear" w:color="auto" w:fill="auto"/>
            <w:tcMar>
              <w:top w:w="72" w:type="dxa"/>
              <w:left w:w="144" w:type="dxa"/>
              <w:bottom w:w="72" w:type="dxa"/>
              <w:right w:w="144" w:type="dxa"/>
            </w:tcMar>
            <w:hideMark/>
          </w:tcPr>
          <w:p w14:paraId="3070FB52" w14:textId="77777777" w:rsidR="002A7C7D" w:rsidRPr="00BC36CB" w:rsidRDefault="002A7C7D" w:rsidP="005748C9">
            <w:pPr>
              <w:rPr>
                <w:rFonts w:cs="Arial"/>
                <w:sz w:val="16"/>
                <w:szCs w:val="16"/>
              </w:rPr>
            </w:pPr>
            <w:r w:rsidRPr="00BC36CB">
              <w:rPr>
                <w:rFonts w:cs="Arial"/>
                <w:color w:val="000000" w:themeColor="dark1"/>
                <w:kern w:val="24"/>
                <w:sz w:val="16"/>
                <w:szCs w:val="16"/>
              </w:rPr>
              <w:t>12.8 slots</w:t>
            </w:r>
          </w:p>
        </w:tc>
        <w:tc>
          <w:tcPr>
            <w:tcW w:w="1218" w:type="pct"/>
            <w:shd w:val="clear" w:color="auto" w:fill="auto"/>
            <w:tcMar>
              <w:top w:w="72" w:type="dxa"/>
              <w:left w:w="144" w:type="dxa"/>
              <w:bottom w:w="72" w:type="dxa"/>
              <w:right w:w="144" w:type="dxa"/>
            </w:tcMar>
            <w:hideMark/>
          </w:tcPr>
          <w:p w14:paraId="7966358D" w14:textId="2CE14219" w:rsidR="002A7C7D" w:rsidRPr="00BC36CB" w:rsidRDefault="006D598E" w:rsidP="005748C9">
            <w:pPr>
              <w:rPr>
                <w:rFonts w:cs="Arial"/>
                <w:sz w:val="16"/>
                <w:szCs w:val="16"/>
              </w:rPr>
            </w:pPr>
            <w:r w:rsidRPr="00613726">
              <w:rPr>
                <w:rFonts w:cs="Arial"/>
                <w:kern w:val="24"/>
                <w:sz w:val="16"/>
                <w:szCs w:val="16"/>
              </w:rPr>
              <w:t>1</w:t>
            </w:r>
            <w:r w:rsidR="004C2E0A">
              <w:rPr>
                <w:rFonts w:cs="Arial"/>
                <w:kern w:val="24"/>
                <w:sz w:val="16"/>
                <w:szCs w:val="16"/>
              </w:rPr>
              <w:t>2</w:t>
            </w:r>
            <w:r w:rsidRPr="00613726">
              <w:rPr>
                <w:rFonts w:cs="Arial"/>
                <w:kern w:val="24"/>
                <w:sz w:val="16"/>
                <w:szCs w:val="16"/>
              </w:rPr>
              <w:t xml:space="preserve">, …., </w:t>
            </w:r>
            <w:r w:rsidR="00CE158E" w:rsidRPr="00613726">
              <w:rPr>
                <w:rFonts w:cs="Arial"/>
                <w:kern w:val="24"/>
                <w:sz w:val="16"/>
                <w:szCs w:val="16"/>
              </w:rPr>
              <w:t>32</w:t>
            </w:r>
          </w:p>
        </w:tc>
      </w:tr>
      <w:tr w:rsidR="002A7C7D" w:rsidRPr="00BC36CB" w14:paraId="5F72CA6E" w14:textId="77777777" w:rsidTr="00613726">
        <w:trPr>
          <w:trHeight w:val="342"/>
        </w:trPr>
        <w:tc>
          <w:tcPr>
            <w:tcW w:w="1348" w:type="pct"/>
            <w:vMerge w:val="restart"/>
            <w:shd w:val="clear" w:color="auto" w:fill="auto"/>
            <w:tcMar>
              <w:top w:w="72" w:type="dxa"/>
              <w:left w:w="144" w:type="dxa"/>
              <w:bottom w:w="72" w:type="dxa"/>
              <w:right w:w="144" w:type="dxa"/>
            </w:tcMar>
            <w:vAlign w:val="center"/>
            <w:hideMark/>
          </w:tcPr>
          <w:p w14:paraId="4CC9D1D0" w14:textId="77777777" w:rsidR="002A7C7D" w:rsidRPr="00BC36CB" w:rsidRDefault="002A7C7D" w:rsidP="005748C9">
            <w:pPr>
              <w:rPr>
                <w:rFonts w:cs="Arial"/>
                <w:sz w:val="16"/>
                <w:szCs w:val="16"/>
              </w:rPr>
            </w:pPr>
            <w:r w:rsidRPr="00BC36CB">
              <w:rPr>
                <w:rFonts w:cs="Arial"/>
                <w:color w:val="000000" w:themeColor="dark1"/>
                <w:kern w:val="24"/>
                <w:sz w:val="16"/>
                <w:szCs w:val="16"/>
              </w:rPr>
              <w:lastRenderedPageBreak/>
              <w:t xml:space="preserve">TA compensating for full RTT up to 541.46 </w:t>
            </w:r>
            <w:proofErr w:type="gramStart"/>
            <w:r w:rsidRPr="00BC36CB">
              <w:rPr>
                <w:rFonts w:cs="Arial"/>
                <w:color w:val="000000" w:themeColor="dark1"/>
                <w:kern w:val="24"/>
                <w:sz w:val="16"/>
                <w:szCs w:val="16"/>
              </w:rPr>
              <w:t>ms</w:t>
            </w:r>
            <w:r>
              <w:rPr>
                <w:rFonts w:cs="Arial"/>
                <w:color w:val="000000" w:themeColor="dark1"/>
                <w:kern w:val="24"/>
                <w:sz w:val="16"/>
                <w:szCs w:val="16"/>
              </w:rPr>
              <w:t xml:space="preserve">  </w:t>
            </w:r>
            <w:r w:rsidRPr="00BC36CB">
              <w:rPr>
                <w:rFonts w:cs="Arial"/>
                <w:color w:val="000000" w:themeColor="dark1"/>
                <w:kern w:val="24"/>
                <w:sz w:val="16"/>
                <w:szCs w:val="16"/>
              </w:rPr>
              <w:t>(</w:t>
            </w:r>
            <w:proofErr w:type="gramEnd"/>
            <w:r w:rsidRPr="00BC36CB">
              <w:rPr>
                <w:rFonts w:cs="Arial"/>
                <w:color w:val="000000" w:themeColor="dark1"/>
                <w:kern w:val="24"/>
                <w:sz w:val="16"/>
                <w:szCs w:val="16"/>
              </w:rPr>
              <w:t>large TA)</w:t>
            </w:r>
          </w:p>
        </w:tc>
        <w:tc>
          <w:tcPr>
            <w:tcW w:w="1217" w:type="pct"/>
            <w:shd w:val="clear" w:color="auto" w:fill="auto"/>
            <w:tcMar>
              <w:top w:w="72" w:type="dxa"/>
              <w:left w:w="144" w:type="dxa"/>
              <w:bottom w:w="72" w:type="dxa"/>
              <w:right w:w="144" w:type="dxa"/>
            </w:tcMar>
            <w:hideMark/>
          </w:tcPr>
          <w:p w14:paraId="7582F3BF" w14:textId="77777777" w:rsidR="002A7C7D" w:rsidRPr="00BC36CB" w:rsidRDefault="002A7C7D" w:rsidP="005748C9">
            <w:pPr>
              <w:rPr>
                <w:rFonts w:cs="Arial"/>
                <w:sz w:val="16"/>
                <w:szCs w:val="16"/>
              </w:rPr>
            </w:pPr>
            <w:r w:rsidRPr="00BC36CB">
              <w:rPr>
                <w:rFonts w:cs="Arial"/>
                <w:color w:val="000000" w:themeColor="dark1"/>
                <w:kern w:val="24"/>
                <w:sz w:val="16"/>
                <w:szCs w:val="16"/>
              </w:rPr>
              <w:t>15 kHz</w:t>
            </w:r>
          </w:p>
        </w:tc>
        <w:tc>
          <w:tcPr>
            <w:tcW w:w="1217" w:type="pct"/>
            <w:shd w:val="clear" w:color="auto" w:fill="auto"/>
            <w:tcMar>
              <w:top w:w="72" w:type="dxa"/>
              <w:left w:w="144" w:type="dxa"/>
              <w:bottom w:w="72" w:type="dxa"/>
              <w:right w:w="144" w:type="dxa"/>
            </w:tcMar>
            <w:hideMark/>
          </w:tcPr>
          <w:p w14:paraId="3BCDE8C3" w14:textId="77777777" w:rsidR="002A7C7D" w:rsidRPr="00BC36CB" w:rsidRDefault="002A7C7D" w:rsidP="005748C9">
            <w:pPr>
              <w:rPr>
                <w:rFonts w:cs="Arial"/>
                <w:sz w:val="16"/>
                <w:szCs w:val="16"/>
              </w:rPr>
            </w:pPr>
            <w:r w:rsidRPr="00BC36CB">
              <w:rPr>
                <w:rFonts w:cs="Arial"/>
                <w:color w:val="000000" w:themeColor="dark1"/>
                <w:kern w:val="24"/>
                <w:sz w:val="16"/>
                <w:szCs w:val="16"/>
              </w:rPr>
              <w:t>541.46 slots</w:t>
            </w:r>
          </w:p>
        </w:tc>
        <w:tc>
          <w:tcPr>
            <w:tcW w:w="1218" w:type="pct"/>
            <w:shd w:val="clear" w:color="auto" w:fill="auto"/>
            <w:tcMar>
              <w:top w:w="72" w:type="dxa"/>
              <w:left w:w="144" w:type="dxa"/>
              <w:bottom w:w="72" w:type="dxa"/>
              <w:right w:w="144" w:type="dxa"/>
            </w:tcMar>
            <w:hideMark/>
          </w:tcPr>
          <w:p w14:paraId="65675CC6" w14:textId="77777777" w:rsidR="002A7C7D" w:rsidRPr="00BC36CB" w:rsidRDefault="002A7C7D" w:rsidP="005748C9">
            <w:pPr>
              <w:rPr>
                <w:rFonts w:cs="Arial"/>
                <w:sz w:val="16"/>
                <w:szCs w:val="16"/>
              </w:rPr>
            </w:pPr>
            <w:r w:rsidRPr="00BC36CB">
              <w:rPr>
                <w:rFonts w:cs="Arial"/>
                <w:color w:val="FF0000"/>
                <w:kern w:val="24"/>
                <w:sz w:val="16"/>
                <w:szCs w:val="16"/>
              </w:rPr>
              <w:t>None</w:t>
            </w:r>
          </w:p>
        </w:tc>
      </w:tr>
      <w:tr w:rsidR="002A7C7D" w:rsidRPr="00BC36CB" w14:paraId="2B34BE32" w14:textId="77777777" w:rsidTr="00613726">
        <w:trPr>
          <w:trHeight w:val="342"/>
        </w:trPr>
        <w:tc>
          <w:tcPr>
            <w:tcW w:w="1348" w:type="pct"/>
            <w:vMerge/>
            <w:shd w:val="clear" w:color="auto" w:fill="auto"/>
            <w:vAlign w:val="center"/>
            <w:hideMark/>
          </w:tcPr>
          <w:p w14:paraId="51CCB6AD" w14:textId="77777777" w:rsidR="002A7C7D" w:rsidRPr="00BC36CB" w:rsidRDefault="002A7C7D" w:rsidP="005748C9">
            <w:pPr>
              <w:rPr>
                <w:rFonts w:cs="Arial"/>
                <w:sz w:val="16"/>
                <w:szCs w:val="16"/>
              </w:rPr>
            </w:pPr>
          </w:p>
        </w:tc>
        <w:tc>
          <w:tcPr>
            <w:tcW w:w="1217" w:type="pct"/>
            <w:shd w:val="clear" w:color="auto" w:fill="auto"/>
            <w:tcMar>
              <w:top w:w="72" w:type="dxa"/>
              <w:left w:w="144" w:type="dxa"/>
              <w:bottom w:w="72" w:type="dxa"/>
              <w:right w:w="144" w:type="dxa"/>
            </w:tcMar>
            <w:hideMark/>
          </w:tcPr>
          <w:p w14:paraId="3588E716" w14:textId="77777777" w:rsidR="002A7C7D" w:rsidRPr="00BC36CB" w:rsidRDefault="002A7C7D" w:rsidP="005748C9">
            <w:pPr>
              <w:rPr>
                <w:rFonts w:cs="Arial"/>
                <w:sz w:val="16"/>
                <w:szCs w:val="16"/>
              </w:rPr>
            </w:pPr>
            <w:r w:rsidRPr="00BC36CB">
              <w:rPr>
                <w:rFonts w:cs="Arial"/>
                <w:color w:val="000000" w:themeColor="dark1"/>
                <w:kern w:val="24"/>
                <w:sz w:val="16"/>
                <w:szCs w:val="16"/>
              </w:rPr>
              <w:t>30 kHz</w:t>
            </w:r>
          </w:p>
        </w:tc>
        <w:tc>
          <w:tcPr>
            <w:tcW w:w="1217" w:type="pct"/>
            <w:shd w:val="clear" w:color="auto" w:fill="auto"/>
            <w:tcMar>
              <w:top w:w="72" w:type="dxa"/>
              <w:left w:w="144" w:type="dxa"/>
              <w:bottom w:w="72" w:type="dxa"/>
              <w:right w:w="144" w:type="dxa"/>
            </w:tcMar>
            <w:hideMark/>
          </w:tcPr>
          <w:p w14:paraId="60160178" w14:textId="77777777" w:rsidR="002A7C7D" w:rsidRPr="00BC36CB" w:rsidRDefault="002A7C7D" w:rsidP="005748C9">
            <w:pPr>
              <w:rPr>
                <w:rFonts w:cs="Arial"/>
                <w:sz w:val="16"/>
                <w:szCs w:val="16"/>
              </w:rPr>
            </w:pPr>
            <w:r w:rsidRPr="00BC36CB">
              <w:rPr>
                <w:rFonts w:cs="Arial"/>
                <w:color w:val="000000" w:themeColor="dark1"/>
                <w:kern w:val="24"/>
                <w:sz w:val="16"/>
                <w:szCs w:val="16"/>
              </w:rPr>
              <w:t>1082.92 slots</w:t>
            </w:r>
          </w:p>
        </w:tc>
        <w:tc>
          <w:tcPr>
            <w:tcW w:w="1218" w:type="pct"/>
            <w:shd w:val="clear" w:color="auto" w:fill="auto"/>
            <w:tcMar>
              <w:top w:w="72" w:type="dxa"/>
              <w:left w:w="144" w:type="dxa"/>
              <w:bottom w:w="72" w:type="dxa"/>
              <w:right w:w="144" w:type="dxa"/>
            </w:tcMar>
            <w:hideMark/>
          </w:tcPr>
          <w:p w14:paraId="47434790" w14:textId="77777777" w:rsidR="002A7C7D" w:rsidRPr="00BC36CB" w:rsidRDefault="002A7C7D" w:rsidP="005748C9">
            <w:pPr>
              <w:rPr>
                <w:rFonts w:cs="Arial"/>
                <w:sz w:val="16"/>
                <w:szCs w:val="16"/>
              </w:rPr>
            </w:pPr>
            <w:r w:rsidRPr="00BC36CB">
              <w:rPr>
                <w:rFonts w:cs="Arial"/>
                <w:color w:val="FF0000"/>
                <w:kern w:val="24"/>
                <w:sz w:val="16"/>
                <w:szCs w:val="16"/>
              </w:rPr>
              <w:t>None</w:t>
            </w:r>
          </w:p>
        </w:tc>
      </w:tr>
      <w:tr w:rsidR="002A7C7D" w:rsidRPr="00BC36CB" w14:paraId="0A2D8A35" w14:textId="77777777" w:rsidTr="00613726">
        <w:trPr>
          <w:trHeight w:val="342"/>
        </w:trPr>
        <w:tc>
          <w:tcPr>
            <w:tcW w:w="1348" w:type="pct"/>
            <w:vMerge/>
            <w:shd w:val="clear" w:color="auto" w:fill="auto"/>
            <w:vAlign w:val="center"/>
            <w:hideMark/>
          </w:tcPr>
          <w:p w14:paraId="21714906" w14:textId="77777777" w:rsidR="002A7C7D" w:rsidRPr="00BC36CB" w:rsidRDefault="002A7C7D" w:rsidP="005748C9">
            <w:pPr>
              <w:rPr>
                <w:rFonts w:cs="Arial"/>
                <w:sz w:val="16"/>
                <w:szCs w:val="16"/>
              </w:rPr>
            </w:pPr>
          </w:p>
        </w:tc>
        <w:tc>
          <w:tcPr>
            <w:tcW w:w="1217" w:type="pct"/>
            <w:shd w:val="clear" w:color="auto" w:fill="auto"/>
            <w:tcMar>
              <w:top w:w="72" w:type="dxa"/>
              <w:left w:w="144" w:type="dxa"/>
              <w:bottom w:w="72" w:type="dxa"/>
              <w:right w:w="144" w:type="dxa"/>
            </w:tcMar>
            <w:hideMark/>
          </w:tcPr>
          <w:p w14:paraId="120B4240" w14:textId="77777777" w:rsidR="002A7C7D" w:rsidRPr="00BC36CB" w:rsidRDefault="002A7C7D" w:rsidP="005748C9">
            <w:pPr>
              <w:rPr>
                <w:rFonts w:cs="Arial"/>
                <w:sz w:val="16"/>
                <w:szCs w:val="16"/>
              </w:rPr>
            </w:pPr>
            <w:r w:rsidRPr="00BC36CB">
              <w:rPr>
                <w:rFonts w:cs="Arial"/>
                <w:color w:val="000000" w:themeColor="dark1"/>
                <w:kern w:val="24"/>
                <w:sz w:val="16"/>
                <w:szCs w:val="16"/>
              </w:rPr>
              <w:t>60 kHz</w:t>
            </w:r>
          </w:p>
        </w:tc>
        <w:tc>
          <w:tcPr>
            <w:tcW w:w="1217" w:type="pct"/>
            <w:shd w:val="clear" w:color="auto" w:fill="auto"/>
            <w:tcMar>
              <w:top w:w="72" w:type="dxa"/>
              <w:left w:w="144" w:type="dxa"/>
              <w:bottom w:w="72" w:type="dxa"/>
              <w:right w:w="144" w:type="dxa"/>
            </w:tcMar>
            <w:hideMark/>
          </w:tcPr>
          <w:p w14:paraId="54F94746" w14:textId="77777777" w:rsidR="002A7C7D" w:rsidRPr="00BC36CB" w:rsidRDefault="002A7C7D" w:rsidP="005748C9">
            <w:pPr>
              <w:rPr>
                <w:rFonts w:cs="Arial"/>
                <w:sz w:val="16"/>
                <w:szCs w:val="16"/>
              </w:rPr>
            </w:pPr>
            <w:r w:rsidRPr="00BC36CB">
              <w:rPr>
                <w:rFonts w:cs="Arial"/>
                <w:color w:val="000000" w:themeColor="dark1"/>
                <w:kern w:val="24"/>
                <w:sz w:val="16"/>
                <w:szCs w:val="16"/>
              </w:rPr>
              <w:t>2165.84 slots</w:t>
            </w:r>
          </w:p>
        </w:tc>
        <w:tc>
          <w:tcPr>
            <w:tcW w:w="1218" w:type="pct"/>
            <w:shd w:val="clear" w:color="auto" w:fill="auto"/>
            <w:tcMar>
              <w:top w:w="72" w:type="dxa"/>
              <w:left w:w="144" w:type="dxa"/>
              <w:bottom w:w="72" w:type="dxa"/>
              <w:right w:w="144" w:type="dxa"/>
            </w:tcMar>
            <w:hideMark/>
          </w:tcPr>
          <w:p w14:paraId="7A3020D8" w14:textId="77777777" w:rsidR="002A7C7D" w:rsidRPr="00BC36CB" w:rsidRDefault="002A7C7D" w:rsidP="005748C9">
            <w:pPr>
              <w:rPr>
                <w:rFonts w:cs="Arial"/>
                <w:sz w:val="16"/>
                <w:szCs w:val="16"/>
              </w:rPr>
            </w:pPr>
            <w:r w:rsidRPr="00BC36CB">
              <w:rPr>
                <w:rFonts w:cs="Arial"/>
                <w:color w:val="FF0000"/>
                <w:kern w:val="24"/>
                <w:sz w:val="16"/>
                <w:szCs w:val="16"/>
              </w:rPr>
              <w:t>None</w:t>
            </w:r>
          </w:p>
        </w:tc>
      </w:tr>
      <w:tr w:rsidR="002A7C7D" w:rsidRPr="00BC36CB" w14:paraId="54673BD0" w14:textId="77777777" w:rsidTr="00613726">
        <w:trPr>
          <w:trHeight w:val="342"/>
        </w:trPr>
        <w:tc>
          <w:tcPr>
            <w:tcW w:w="1348" w:type="pct"/>
            <w:vMerge/>
            <w:shd w:val="clear" w:color="auto" w:fill="auto"/>
            <w:vAlign w:val="center"/>
            <w:hideMark/>
          </w:tcPr>
          <w:p w14:paraId="101BBAF8" w14:textId="77777777" w:rsidR="002A7C7D" w:rsidRPr="00BC36CB" w:rsidRDefault="002A7C7D" w:rsidP="005748C9">
            <w:pPr>
              <w:rPr>
                <w:rFonts w:cs="Arial"/>
                <w:sz w:val="16"/>
                <w:szCs w:val="16"/>
              </w:rPr>
            </w:pPr>
          </w:p>
        </w:tc>
        <w:tc>
          <w:tcPr>
            <w:tcW w:w="1217" w:type="pct"/>
            <w:shd w:val="clear" w:color="auto" w:fill="auto"/>
            <w:tcMar>
              <w:top w:w="72" w:type="dxa"/>
              <w:left w:w="144" w:type="dxa"/>
              <w:bottom w:w="72" w:type="dxa"/>
              <w:right w:w="144" w:type="dxa"/>
            </w:tcMar>
            <w:hideMark/>
          </w:tcPr>
          <w:p w14:paraId="12E079EA" w14:textId="77777777" w:rsidR="002A7C7D" w:rsidRPr="00BC36CB" w:rsidRDefault="002A7C7D" w:rsidP="005748C9">
            <w:pPr>
              <w:rPr>
                <w:rFonts w:cs="Arial"/>
                <w:sz w:val="16"/>
                <w:szCs w:val="16"/>
              </w:rPr>
            </w:pPr>
            <w:r w:rsidRPr="00BC36CB">
              <w:rPr>
                <w:rFonts w:cs="Arial"/>
                <w:color w:val="000000" w:themeColor="dark1"/>
                <w:kern w:val="24"/>
                <w:sz w:val="16"/>
                <w:szCs w:val="16"/>
              </w:rPr>
              <w:t>120 kHz</w:t>
            </w:r>
          </w:p>
        </w:tc>
        <w:tc>
          <w:tcPr>
            <w:tcW w:w="1217" w:type="pct"/>
            <w:shd w:val="clear" w:color="auto" w:fill="auto"/>
            <w:tcMar>
              <w:top w:w="72" w:type="dxa"/>
              <w:left w:w="144" w:type="dxa"/>
              <w:bottom w:w="72" w:type="dxa"/>
              <w:right w:w="144" w:type="dxa"/>
            </w:tcMar>
            <w:hideMark/>
          </w:tcPr>
          <w:p w14:paraId="48B1B3DD" w14:textId="77777777" w:rsidR="002A7C7D" w:rsidRPr="00BC36CB" w:rsidRDefault="002A7C7D" w:rsidP="005748C9">
            <w:pPr>
              <w:rPr>
                <w:rFonts w:cs="Arial"/>
                <w:sz w:val="16"/>
                <w:szCs w:val="16"/>
              </w:rPr>
            </w:pPr>
            <w:r w:rsidRPr="00BC36CB">
              <w:rPr>
                <w:rFonts w:cs="Arial"/>
                <w:color w:val="000000" w:themeColor="dark1"/>
                <w:kern w:val="24"/>
                <w:sz w:val="16"/>
                <w:szCs w:val="16"/>
              </w:rPr>
              <w:t>4331.68 slots</w:t>
            </w:r>
          </w:p>
        </w:tc>
        <w:tc>
          <w:tcPr>
            <w:tcW w:w="1218" w:type="pct"/>
            <w:shd w:val="clear" w:color="auto" w:fill="auto"/>
            <w:tcMar>
              <w:top w:w="72" w:type="dxa"/>
              <w:left w:w="144" w:type="dxa"/>
              <w:bottom w:w="72" w:type="dxa"/>
              <w:right w:w="144" w:type="dxa"/>
            </w:tcMar>
            <w:hideMark/>
          </w:tcPr>
          <w:p w14:paraId="644E056B" w14:textId="77777777" w:rsidR="002A7C7D" w:rsidRPr="00BC36CB" w:rsidRDefault="002A7C7D" w:rsidP="005748C9">
            <w:pPr>
              <w:rPr>
                <w:rFonts w:cs="Arial"/>
                <w:sz w:val="16"/>
                <w:szCs w:val="16"/>
              </w:rPr>
            </w:pPr>
            <w:r w:rsidRPr="00BC36CB">
              <w:rPr>
                <w:rFonts w:cs="Arial"/>
                <w:color w:val="FF0000"/>
                <w:kern w:val="24"/>
                <w:sz w:val="16"/>
                <w:szCs w:val="16"/>
              </w:rPr>
              <w:t>None</w:t>
            </w:r>
          </w:p>
        </w:tc>
      </w:tr>
    </w:tbl>
    <w:p w14:paraId="566ADEFB" w14:textId="77777777" w:rsidR="00BD1709" w:rsidRDefault="00BD1709" w:rsidP="00367151">
      <w:pPr>
        <w:jc w:val="both"/>
        <w:rPr>
          <w:rFonts w:ascii="Arial" w:hAnsi="Arial"/>
          <w:color w:val="000000"/>
          <w:sz w:val="20"/>
          <w:szCs w:val="20"/>
          <w:highlight w:val="yellow"/>
        </w:rPr>
      </w:pPr>
    </w:p>
    <w:p w14:paraId="31CFC8BE" w14:textId="77777777" w:rsidR="00BD1709" w:rsidRPr="00893D97" w:rsidRDefault="00BD1709" w:rsidP="00367151">
      <w:pPr>
        <w:jc w:val="both"/>
        <w:rPr>
          <w:rFonts w:ascii="Arial" w:hAnsi="Arial"/>
          <w:color w:val="000000"/>
          <w:sz w:val="20"/>
          <w:szCs w:val="20"/>
          <w:highlight w:val="yellow"/>
        </w:rPr>
      </w:pPr>
    </w:p>
    <w:p w14:paraId="122632CB" w14:textId="3C01643E" w:rsidR="00E779B4" w:rsidRDefault="00E779B4" w:rsidP="00E779B4">
      <w:pPr>
        <w:pStyle w:val="Heading2"/>
      </w:pPr>
      <w:r>
        <w:t>2.3 Transmission timing for data on PUSCH</w:t>
      </w:r>
    </w:p>
    <w:p w14:paraId="68EC6E31" w14:textId="68BF6E22" w:rsidR="008E49F7" w:rsidRDefault="00BB5ED2" w:rsidP="008E49F7">
      <w:pPr>
        <w:jc w:val="both"/>
        <w:rPr>
          <w:rFonts w:ascii="Arial" w:hAnsi="Arial"/>
          <w:sz w:val="20"/>
          <w:szCs w:val="20"/>
        </w:rPr>
      </w:pPr>
      <w:r>
        <w:rPr>
          <w:rFonts w:ascii="Arial" w:hAnsi="Arial"/>
          <w:sz w:val="20"/>
          <w:szCs w:val="20"/>
        </w:rPr>
        <w:t>Dynamic d</w:t>
      </w:r>
      <w:r w:rsidR="008E49F7" w:rsidRPr="00893D97">
        <w:rPr>
          <w:rFonts w:ascii="Arial" w:hAnsi="Arial"/>
          <w:sz w:val="20"/>
          <w:szCs w:val="20"/>
        </w:rPr>
        <w:t>ata</w:t>
      </w:r>
      <w:r>
        <w:rPr>
          <w:rFonts w:ascii="Arial" w:hAnsi="Arial"/>
          <w:sz w:val="20"/>
          <w:szCs w:val="20"/>
        </w:rPr>
        <w:t xml:space="preserve"> transmission</w:t>
      </w:r>
      <w:r w:rsidR="008E49F7" w:rsidRPr="00893D97">
        <w:rPr>
          <w:rFonts w:ascii="Arial" w:hAnsi="Arial"/>
          <w:sz w:val="20"/>
          <w:szCs w:val="20"/>
        </w:rPr>
        <w:t xml:space="preserve"> on PUSCH is scheduled by DCI and the time domain resource assignment field of the DCI provides an index to a table with information on resource allocation in time domain. This information includes, but not limited to, the slot offset </w:t>
      </w:r>
      <w:r w:rsidR="008E49F7" w:rsidRPr="00893D97">
        <w:rPr>
          <w:rFonts w:ascii="Arial" w:hAnsi="Arial"/>
          <w:i/>
          <w:sz w:val="20"/>
          <w:szCs w:val="20"/>
        </w:rPr>
        <w:t>K</w:t>
      </w:r>
      <w:r w:rsidR="008E49F7" w:rsidRPr="00893D97">
        <w:rPr>
          <w:rFonts w:ascii="Arial" w:hAnsi="Arial"/>
          <w:i/>
          <w:sz w:val="20"/>
          <w:szCs w:val="20"/>
          <w:vertAlign w:val="subscript"/>
        </w:rPr>
        <w:t>2</w:t>
      </w:r>
      <w:r w:rsidR="008E49F7" w:rsidRPr="00893D97">
        <w:rPr>
          <w:rFonts w:ascii="Arial" w:hAnsi="Arial"/>
          <w:sz w:val="20"/>
          <w:szCs w:val="20"/>
        </w:rPr>
        <w:t xml:space="preserve">, the start and length indicator SLIV, or directly the start symbol </w:t>
      </w:r>
      <w:r w:rsidR="008E49F7" w:rsidRPr="00893D97">
        <w:rPr>
          <w:rFonts w:ascii="Arial" w:hAnsi="Arial"/>
          <w:i/>
          <w:sz w:val="20"/>
          <w:szCs w:val="20"/>
        </w:rPr>
        <w:t>S</w:t>
      </w:r>
      <w:r w:rsidR="008E49F7" w:rsidRPr="00893D97">
        <w:rPr>
          <w:rFonts w:ascii="Arial" w:hAnsi="Arial"/>
          <w:sz w:val="20"/>
          <w:szCs w:val="20"/>
        </w:rPr>
        <w:t xml:space="preserve"> and the allocation length </w:t>
      </w:r>
      <w:r w:rsidR="008E49F7" w:rsidRPr="00893D97">
        <w:rPr>
          <w:rFonts w:ascii="Arial" w:hAnsi="Arial"/>
          <w:i/>
          <w:sz w:val="20"/>
          <w:szCs w:val="20"/>
        </w:rPr>
        <w:t>L</w:t>
      </w:r>
      <w:r w:rsidR="008E49F7" w:rsidRPr="00893D97">
        <w:rPr>
          <w:rFonts w:ascii="Arial" w:hAnsi="Arial"/>
          <w:sz w:val="20"/>
          <w:szCs w:val="20"/>
        </w:rPr>
        <w:t xml:space="preserve">, and the PUSCH mapping type to be applied in the PUSCH transmission.  The slot where the UE shall transmit the PUSCH is determined by </w:t>
      </w:r>
      <w:r w:rsidR="008E49F7" w:rsidRPr="00893D97">
        <w:rPr>
          <w:rFonts w:ascii="Arial" w:hAnsi="Arial"/>
          <w:i/>
          <w:sz w:val="20"/>
          <w:szCs w:val="20"/>
        </w:rPr>
        <w:t>K</w:t>
      </w:r>
      <w:r w:rsidR="008E49F7" w:rsidRPr="00893D97">
        <w:rPr>
          <w:rFonts w:ascii="Arial" w:hAnsi="Arial"/>
          <w:i/>
          <w:sz w:val="20"/>
          <w:szCs w:val="20"/>
          <w:vertAlign w:val="subscript"/>
        </w:rPr>
        <w:t>2</w:t>
      </w:r>
      <w:r w:rsidR="008E49F7" w:rsidRPr="00893D97">
        <w:rPr>
          <w:rFonts w:ascii="Arial" w:hAnsi="Arial"/>
          <w:sz w:val="20"/>
          <w:szCs w:val="20"/>
        </w:rPr>
        <w:t xml:space="preserve"> as </w:t>
      </w:r>
      <m:oMath>
        <m:d>
          <m:dPr>
            <m:begChr m:val="⌊"/>
            <m:endChr m:val="⌋"/>
            <m:ctrlPr>
              <w:rPr>
                <w:rFonts w:ascii="Cambria Math" w:hAnsi="Cambria Math"/>
                <w:i/>
                <w:sz w:val="20"/>
                <w:szCs w:val="20"/>
              </w:rPr>
            </m:ctrlPr>
          </m:dPr>
          <m:e>
            <m:r>
              <w:rPr>
                <w:rFonts w:ascii="Cambria Math" w:hAnsi="Cambria Math"/>
                <w:sz w:val="20"/>
                <w:szCs w:val="20"/>
              </w:rPr>
              <m:t>n∙</m:t>
            </m:r>
            <m:sSup>
              <m:sSupPr>
                <m:ctrlPr>
                  <w:rPr>
                    <w:rFonts w:ascii="Cambria Math" w:hAnsi="Cambria Math"/>
                    <w:i/>
                    <w:sz w:val="20"/>
                    <w:szCs w:val="20"/>
                  </w:rPr>
                </m:ctrlPr>
              </m:sSupPr>
              <m:e>
                <m:r>
                  <w:rPr>
                    <w:rFonts w:ascii="Cambria Math" w:hAnsi="Cambria Math"/>
                    <w:sz w:val="20"/>
                    <w:szCs w:val="20"/>
                  </w:rPr>
                  <m:t>2</m:t>
                </m:r>
              </m:e>
              <m:sup>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PUSCH</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PDCCH</m:t>
                    </m:r>
                  </m:sub>
                </m:sSub>
              </m:sup>
            </m:sSup>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m:t>
            </m:r>
          </m:sub>
        </m:sSub>
      </m:oMath>
      <w:r w:rsidR="008E49F7" w:rsidRPr="00893D97">
        <w:rPr>
          <w:rFonts w:ascii="Arial" w:hAnsi="Arial"/>
          <w:sz w:val="20"/>
          <w:szCs w:val="20"/>
        </w:rPr>
        <w:t xml:space="preserve">, where </w:t>
      </w:r>
      <w:r w:rsidR="008E49F7" w:rsidRPr="00893D97">
        <w:rPr>
          <w:rFonts w:ascii="Arial" w:hAnsi="Arial"/>
          <w:i/>
          <w:sz w:val="20"/>
          <w:szCs w:val="20"/>
        </w:rPr>
        <w:t>n</w:t>
      </w:r>
      <w:r w:rsidR="008E49F7" w:rsidRPr="00893D97">
        <w:rPr>
          <w:rFonts w:ascii="Arial" w:hAnsi="Arial"/>
          <w:sz w:val="20"/>
          <w:szCs w:val="20"/>
        </w:rPr>
        <w:t xml:space="preserve"> is the slot with the scheduling DCI, </w:t>
      </w:r>
      <w:r w:rsidR="008E49F7" w:rsidRPr="00893D97">
        <w:rPr>
          <w:rFonts w:ascii="Arial" w:hAnsi="Arial"/>
          <w:i/>
          <w:sz w:val="20"/>
          <w:szCs w:val="20"/>
        </w:rPr>
        <w:t>K</w:t>
      </w:r>
      <w:r w:rsidR="008E49F7" w:rsidRPr="00893D97">
        <w:rPr>
          <w:rFonts w:ascii="Arial" w:hAnsi="Arial"/>
          <w:i/>
          <w:sz w:val="20"/>
          <w:szCs w:val="20"/>
          <w:vertAlign w:val="subscript"/>
        </w:rPr>
        <w:t>2</w:t>
      </w:r>
      <w:r w:rsidR="008E49F7" w:rsidRPr="00893D97">
        <w:rPr>
          <w:rFonts w:ascii="Arial" w:hAnsi="Arial"/>
          <w:sz w:val="20"/>
          <w:szCs w:val="20"/>
        </w:rPr>
        <w:t xml:space="preserve"> is based on the numerology of PUSCH, and </w:t>
      </w:r>
      <m:oMath>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PUSCH</m:t>
            </m:r>
          </m:sub>
        </m:sSub>
      </m:oMath>
      <w:r w:rsidR="008E49F7" w:rsidRPr="00893D97">
        <w:rPr>
          <w:rFonts w:ascii="Arial" w:hAnsi="Arial"/>
          <w:sz w:val="20"/>
          <w:szCs w:val="20"/>
        </w:rPr>
        <w:t xml:space="preserve"> and </w:t>
      </w:r>
      <m:oMath>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PDCCH</m:t>
            </m:r>
          </m:sub>
        </m:sSub>
      </m:oMath>
      <w:r w:rsidR="008E49F7" w:rsidRPr="00893D97">
        <w:rPr>
          <w:rFonts w:ascii="Arial" w:hAnsi="Arial"/>
          <w:sz w:val="20"/>
          <w:szCs w:val="20"/>
        </w:rPr>
        <w:t xml:space="preserve"> are the subcarrier spacing configurations for PUSCH and PDCCH, respectively.</w:t>
      </w:r>
      <w:r w:rsidR="008E49F7">
        <w:rPr>
          <w:rFonts w:ascii="Arial" w:hAnsi="Arial"/>
          <w:sz w:val="20"/>
          <w:szCs w:val="20"/>
        </w:rPr>
        <w:t xml:space="preserve">  </w:t>
      </w:r>
      <w:proofErr w:type="gramStart"/>
      <w:r w:rsidR="008E49F7" w:rsidRPr="00893D97">
        <w:rPr>
          <w:rFonts w:ascii="Arial" w:hAnsi="Arial"/>
          <w:sz w:val="20"/>
          <w:szCs w:val="20"/>
        </w:rPr>
        <w:t>Similar to</w:t>
      </w:r>
      <w:proofErr w:type="gramEnd"/>
      <w:r w:rsidR="008E49F7" w:rsidRPr="00893D97">
        <w:rPr>
          <w:rFonts w:ascii="Arial" w:hAnsi="Arial"/>
          <w:sz w:val="20"/>
          <w:szCs w:val="20"/>
        </w:rPr>
        <w:t xml:space="preserve"> the problems highlighted in Sections 2.1 and 2.2, </w:t>
      </w:r>
      <w:r w:rsidR="008E49F7">
        <w:rPr>
          <w:rFonts w:ascii="Arial" w:hAnsi="Arial"/>
          <w:sz w:val="20"/>
          <w:szCs w:val="20"/>
        </w:rPr>
        <w:t xml:space="preserve">which slot the PUSCH is transmitted by the UE will depend on whether small TA or large TA is used.  The value range currently possible in NR Rel-15 for </w:t>
      </w:r>
      <w:r w:rsidR="008E49F7">
        <w:rPr>
          <w:rFonts w:ascii="Arial" w:hAnsi="Arial"/>
          <w:i/>
          <w:sz w:val="20"/>
          <w:szCs w:val="20"/>
        </w:rPr>
        <w:t>K</w:t>
      </w:r>
      <w:r w:rsidR="008E49F7" w:rsidRPr="005748C9">
        <w:rPr>
          <w:rFonts w:ascii="Arial" w:hAnsi="Arial"/>
          <w:i/>
          <w:sz w:val="20"/>
          <w:szCs w:val="20"/>
          <w:vertAlign w:val="subscript"/>
        </w:rPr>
        <w:t>2</w:t>
      </w:r>
      <w:r w:rsidR="008E49F7" w:rsidRPr="00893D97">
        <w:rPr>
          <w:rFonts w:ascii="Arial" w:hAnsi="Arial"/>
          <w:sz w:val="20"/>
          <w:szCs w:val="20"/>
        </w:rPr>
        <w:t xml:space="preserve"> is</w:t>
      </w:r>
      <w:r w:rsidR="008E49F7">
        <w:rPr>
          <w:rFonts w:ascii="Arial" w:hAnsi="Arial"/>
          <w:sz w:val="20"/>
          <w:szCs w:val="20"/>
        </w:rPr>
        <w:t xml:space="preserve"> from 0 to 32.</w:t>
      </w:r>
    </w:p>
    <w:p w14:paraId="514C34E7" w14:textId="77777777" w:rsidR="008E49F7" w:rsidRDefault="008E49F7" w:rsidP="008E49F7">
      <w:pPr>
        <w:jc w:val="both"/>
        <w:rPr>
          <w:rFonts w:ascii="Arial" w:hAnsi="Arial"/>
          <w:color w:val="000000"/>
          <w:sz w:val="20"/>
          <w:szCs w:val="20"/>
        </w:rPr>
      </w:pPr>
      <w:proofErr w:type="gramStart"/>
      <w:r>
        <w:rPr>
          <w:rFonts w:ascii="Arial" w:hAnsi="Arial"/>
          <w:sz w:val="20"/>
          <w:szCs w:val="20"/>
        </w:rPr>
        <w:t>Similar to</w:t>
      </w:r>
      <w:proofErr w:type="gramEnd"/>
      <w:r>
        <w:rPr>
          <w:rFonts w:ascii="Arial" w:hAnsi="Arial"/>
          <w:sz w:val="20"/>
          <w:szCs w:val="20"/>
        </w:rPr>
        <w:t xml:space="preserve"> the analysis in Table 2, it can be shown that the current range of </w:t>
      </w:r>
      <w:r w:rsidRPr="00893D97">
        <w:rPr>
          <w:rFonts w:ascii="Arial" w:hAnsi="Arial"/>
          <w:i/>
          <w:sz w:val="20"/>
          <w:szCs w:val="20"/>
        </w:rPr>
        <w:t>K</w:t>
      </w:r>
      <w:r w:rsidRPr="00893D97">
        <w:rPr>
          <w:rFonts w:ascii="Arial" w:hAnsi="Arial"/>
          <w:i/>
          <w:sz w:val="20"/>
          <w:szCs w:val="20"/>
          <w:vertAlign w:val="subscript"/>
        </w:rPr>
        <w:t>2</w:t>
      </w:r>
      <w:r>
        <w:rPr>
          <w:rFonts w:ascii="Arial" w:hAnsi="Arial"/>
          <w:sz w:val="20"/>
          <w:szCs w:val="20"/>
        </w:rPr>
        <w:t xml:space="preserve"> values is sufficient for the small TA compensation scenario.  However, this range is not </w:t>
      </w:r>
      <w:proofErr w:type="gramStart"/>
      <w:r>
        <w:rPr>
          <w:rFonts w:ascii="Arial" w:hAnsi="Arial"/>
          <w:sz w:val="20"/>
          <w:szCs w:val="20"/>
        </w:rPr>
        <w:t>sufficient</w:t>
      </w:r>
      <w:proofErr w:type="gramEnd"/>
      <w:r>
        <w:rPr>
          <w:rFonts w:ascii="Arial" w:hAnsi="Arial"/>
          <w:sz w:val="20"/>
          <w:szCs w:val="20"/>
        </w:rPr>
        <w:t xml:space="preserve"> for NTN scenarios with large TA compensation.  </w:t>
      </w:r>
      <w:r>
        <w:rPr>
          <w:rFonts w:ascii="Arial" w:hAnsi="Arial"/>
          <w:color w:val="000000"/>
          <w:sz w:val="20"/>
          <w:szCs w:val="20"/>
        </w:rPr>
        <w:t xml:space="preserve">Hence, extending the range of </w:t>
      </w:r>
      <w:r w:rsidRPr="00893D97">
        <w:rPr>
          <w:rFonts w:ascii="Arial" w:hAnsi="Arial"/>
          <w:i/>
          <w:sz w:val="20"/>
          <w:szCs w:val="20"/>
        </w:rPr>
        <w:t>K</w:t>
      </w:r>
      <w:r w:rsidRPr="00893D97">
        <w:rPr>
          <w:rFonts w:ascii="Arial" w:hAnsi="Arial"/>
          <w:i/>
          <w:sz w:val="20"/>
          <w:szCs w:val="20"/>
          <w:vertAlign w:val="subscript"/>
        </w:rPr>
        <w:t>2</w:t>
      </w:r>
      <w:r>
        <w:rPr>
          <w:rFonts w:ascii="Arial" w:hAnsi="Arial"/>
          <w:color w:val="000000"/>
          <w:sz w:val="20"/>
          <w:szCs w:val="20"/>
        </w:rPr>
        <w:t xml:space="preserve"> values to better support large TA compensation scenario can be considered.  This can be done by either extending the range of </w:t>
      </w:r>
      <w:r w:rsidRPr="00893D97">
        <w:rPr>
          <w:rFonts w:ascii="Arial" w:hAnsi="Arial"/>
          <w:i/>
          <w:sz w:val="20"/>
          <w:szCs w:val="20"/>
        </w:rPr>
        <w:t>K</w:t>
      </w:r>
      <w:r w:rsidRPr="00893D97">
        <w:rPr>
          <w:rFonts w:ascii="Arial" w:hAnsi="Arial"/>
          <w:i/>
          <w:sz w:val="20"/>
          <w:szCs w:val="20"/>
          <w:vertAlign w:val="subscript"/>
        </w:rPr>
        <w:t>2</w:t>
      </w:r>
      <w:r>
        <w:rPr>
          <w:rFonts w:ascii="Arial" w:hAnsi="Arial"/>
          <w:color w:val="000000"/>
          <w:sz w:val="20"/>
          <w:szCs w:val="20"/>
        </w:rPr>
        <w:t xml:space="preserve"> values or introducing a configurable offset which can be added to </w:t>
      </w:r>
      <w:r w:rsidRPr="00893D97">
        <w:rPr>
          <w:rFonts w:ascii="Arial" w:hAnsi="Arial"/>
          <w:i/>
          <w:sz w:val="20"/>
          <w:szCs w:val="20"/>
        </w:rPr>
        <w:t>K</w:t>
      </w:r>
      <w:r w:rsidRPr="00893D97">
        <w:rPr>
          <w:rFonts w:ascii="Arial" w:hAnsi="Arial"/>
          <w:i/>
          <w:sz w:val="20"/>
          <w:szCs w:val="20"/>
          <w:vertAlign w:val="subscript"/>
        </w:rPr>
        <w:t>2</w:t>
      </w:r>
      <w:r>
        <w:rPr>
          <w:rFonts w:ascii="Arial" w:hAnsi="Arial"/>
          <w:color w:val="000000"/>
          <w:sz w:val="20"/>
          <w:szCs w:val="20"/>
        </w:rPr>
        <w:t>.  Hence, we make the following proposal:</w:t>
      </w:r>
    </w:p>
    <w:p w14:paraId="78092D1A" w14:textId="77777777" w:rsidR="00237868" w:rsidRDefault="00237868" w:rsidP="000D306C">
      <w:pPr>
        <w:pStyle w:val="BodyText"/>
        <w:rPr>
          <w:b/>
          <w:i/>
          <w:sz w:val="20"/>
          <w:szCs w:val="20"/>
        </w:rPr>
      </w:pPr>
    </w:p>
    <w:p w14:paraId="596E3B68" w14:textId="6DDABDD9" w:rsidR="000D306C" w:rsidRDefault="000D306C" w:rsidP="000D306C">
      <w:pPr>
        <w:pStyle w:val="BodyText"/>
        <w:rPr>
          <w:b/>
          <w:i/>
          <w:sz w:val="20"/>
          <w:szCs w:val="20"/>
        </w:rPr>
      </w:pPr>
      <w:r w:rsidRPr="00237868">
        <w:rPr>
          <w:b/>
          <w:i/>
          <w:sz w:val="20"/>
          <w:szCs w:val="20"/>
        </w:rPr>
        <w:t xml:space="preserve">Proposal </w:t>
      </w:r>
      <w:r w:rsidR="00744B18" w:rsidRPr="00237868">
        <w:rPr>
          <w:b/>
          <w:i/>
          <w:sz w:val="20"/>
          <w:szCs w:val="20"/>
        </w:rPr>
        <w:t>3</w:t>
      </w:r>
      <w:r w:rsidRPr="00237868">
        <w:rPr>
          <w:b/>
          <w:i/>
          <w:sz w:val="20"/>
          <w:szCs w:val="20"/>
        </w:rPr>
        <w:t xml:space="preserve">:  For </w:t>
      </w:r>
      <w:r w:rsidR="00B13761" w:rsidRPr="00237868">
        <w:rPr>
          <w:b/>
          <w:i/>
          <w:sz w:val="20"/>
          <w:szCs w:val="20"/>
        </w:rPr>
        <w:t>PUSCH</w:t>
      </w:r>
      <w:r w:rsidRPr="00237868">
        <w:rPr>
          <w:b/>
          <w:i/>
          <w:sz w:val="20"/>
          <w:szCs w:val="20"/>
        </w:rPr>
        <w:t xml:space="preserve"> transmission timing with large TA, either extend the range of K</w:t>
      </w:r>
      <w:r w:rsidR="00680ADD" w:rsidRPr="00237868">
        <w:rPr>
          <w:b/>
          <w:i/>
          <w:sz w:val="20"/>
          <w:szCs w:val="20"/>
        </w:rPr>
        <w:t>2</w:t>
      </w:r>
      <w:r w:rsidRPr="00237868">
        <w:rPr>
          <w:b/>
          <w:i/>
          <w:sz w:val="20"/>
          <w:szCs w:val="20"/>
        </w:rPr>
        <w:t xml:space="preserve"> values or introduce a configurable offset to compensate for full RTT, respectively.</w:t>
      </w:r>
    </w:p>
    <w:p w14:paraId="7BB22AE2" w14:textId="582F2021" w:rsidR="00056D54" w:rsidRDefault="00056D54" w:rsidP="000D306C">
      <w:pPr>
        <w:pStyle w:val="BodyText"/>
        <w:rPr>
          <w:sz w:val="20"/>
          <w:szCs w:val="20"/>
        </w:rPr>
      </w:pPr>
    </w:p>
    <w:p w14:paraId="148DA657" w14:textId="53927BA6" w:rsidR="004351C2" w:rsidRPr="009C09BC" w:rsidRDefault="004351C2" w:rsidP="004351C2">
      <w:pPr>
        <w:jc w:val="both"/>
        <w:rPr>
          <w:rFonts w:ascii="Arial" w:hAnsi="Arial" w:cs="Arial"/>
          <w:sz w:val="20"/>
          <w:szCs w:val="20"/>
        </w:rPr>
      </w:pPr>
      <w:r w:rsidRPr="00FC4045">
        <w:rPr>
          <w:rFonts w:ascii="Arial" w:hAnsi="Arial" w:cs="Arial"/>
          <w:sz w:val="20"/>
          <w:szCs w:val="20"/>
        </w:rPr>
        <w:t xml:space="preserve">As discussed above, </w:t>
      </w:r>
      <w:r w:rsidRPr="00BB5ED2">
        <w:rPr>
          <w:rFonts w:ascii="Arial" w:hAnsi="Arial" w:cs="Arial"/>
          <w:sz w:val="20"/>
          <w:szCs w:val="20"/>
        </w:rPr>
        <w:t>in the case of the small TA, it is expected that the gNB broadcasts the reference RTT to the served UEs.</w:t>
      </w:r>
      <w:r w:rsidR="005C3081" w:rsidRPr="00BB5ED2">
        <w:rPr>
          <w:rFonts w:ascii="Arial" w:hAnsi="Arial" w:cs="Arial"/>
          <w:sz w:val="20"/>
          <w:szCs w:val="20"/>
        </w:rPr>
        <w:t xml:space="preserve">  H</w:t>
      </w:r>
      <w:r w:rsidR="005B6562" w:rsidRPr="00BB5ED2">
        <w:rPr>
          <w:rFonts w:ascii="Arial" w:hAnsi="Arial" w:cs="Arial"/>
          <w:sz w:val="20"/>
          <w:szCs w:val="20"/>
        </w:rPr>
        <w:t xml:space="preserve">ence, it can be study how to signal the reference RTT in small TA </w:t>
      </w:r>
      <w:r w:rsidR="00284F4A" w:rsidRPr="00BB5ED2">
        <w:rPr>
          <w:rFonts w:ascii="Arial" w:hAnsi="Arial" w:cs="Arial"/>
          <w:sz w:val="20"/>
          <w:szCs w:val="20"/>
        </w:rPr>
        <w:t>compensation scenario (e.g., broadcasting common RTT on SIB).</w:t>
      </w:r>
      <w:r w:rsidR="003A2441" w:rsidRPr="009C09BC">
        <w:rPr>
          <w:rFonts w:ascii="Arial" w:hAnsi="Arial" w:cs="Arial"/>
          <w:sz w:val="20"/>
          <w:szCs w:val="20"/>
        </w:rPr>
        <w:t xml:space="preserve"> </w:t>
      </w:r>
    </w:p>
    <w:p w14:paraId="42B5F469" w14:textId="741B90D8" w:rsidR="000D306C" w:rsidRDefault="000D306C" w:rsidP="00752B37">
      <w:pPr>
        <w:pStyle w:val="BodyText"/>
        <w:tabs>
          <w:tab w:val="left" w:pos="1846"/>
        </w:tabs>
        <w:rPr>
          <w:sz w:val="20"/>
          <w:szCs w:val="20"/>
        </w:rPr>
      </w:pPr>
    </w:p>
    <w:p w14:paraId="39A41D18" w14:textId="359E6699" w:rsidR="00680ADD" w:rsidRPr="00893D97" w:rsidRDefault="00680ADD" w:rsidP="00680ADD">
      <w:pPr>
        <w:pStyle w:val="BodyText"/>
        <w:rPr>
          <w:sz w:val="20"/>
          <w:szCs w:val="20"/>
        </w:rPr>
      </w:pPr>
      <w:r w:rsidRPr="00DD1CC1">
        <w:rPr>
          <w:b/>
          <w:i/>
          <w:sz w:val="20"/>
          <w:szCs w:val="20"/>
        </w:rPr>
        <w:t xml:space="preserve">Proposal </w:t>
      </w:r>
      <w:r w:rsidR="00752B37" w:rsidRPr="00DD1CC1">
        <w:rPr>
          <w:b/>
          <w:i/>
          <w:sz w:val="20"/>
          <w:szCs w:val="20"/>
        </w:rPr>
        <w:t>4</w:t>
      </w:r>
      <w:r w:rsidRPr="00DD1CC1">
        <w:rPr>
          <w:b/>
          <w:i/>
          <w:sz w:val="20"/>
          <w:szCs w:val="20"/>
        </w:rPr>
        <w:t xml:space="preserve">:  For </w:t>
      </w:r>
      <w:r w:rsidR="00685D5E" w:rsidRPr="00DD1CC1">
        <w:rPr>
          <w:b/>
          <w:i/>
          <w:sz w:val="20"/>
          <w:szCs w:val="20"/>
        </w:rPr>
        <w:t>small</w:t>
      </w:r>
      <w:r w:rsidR="00752B37" w:rsidRPr="00DD1CC1">
        <w:rPr>
          <w:b/>
          <w:i/>
          <w:sz w:val="20"/>
          <w:szCs w:val="20"/>
        </w:rPr>
        <w:t xml:space="preserve"> </w:t>
      </w:r>
      <w:r w:rsidRPr="00DD1CC1">
        <w:rPr>
          <w:b/>
          <w:i/>
          <w:sz w:val="20"/>
          <w:szCs w:val="20"/>
        </w:rPr>
        <w:t xml:space="preserve">TA, study signaling methods for </w:t>
      </w:r>
      <w:r w:rsidR="004C7B85" w:rsidRPr="00DD1CC1">
        <w:rPr>
          <w:b/>
          <w:i/>
          <w:sz w:val="20"/>
          <w:szCs w:val="20"/>
        </w:rPr>
        <w:t>reference</w:t>
      </w:r>
      <w:r w:rsidRPr="00DD1CC1">
        <w:rPr>
          <w:b/>
          <w:i/>
          <w:sz w:val="20"/>
          <w:szCs w:val="20"/>
        </w:rPr>
        <w:t xml:space="preserve"> RTT.</w:t>
      </w:r>
      <w:r>
        <w:rPr>
          <w:b/>
          <w:i/>
          <w:sz w:val="20"/>
          <w:szCs w:val="20"/>
        </w:rPr>
        <w:t xml:space="preserve"> </w:t>
      </w:r>
    </w:p>
    <w:p w14:paraId="5890621E" w14:textId="6AAF2763" w:rsidR="000D306C" w:rsidRDefault="000D306C" w:rsidP="003B7388">
      <w:pPr>
        <w:jc w:val="both"/>
        <w:rPr>
          <w:rFonts w:ascii="Arial" w:hAnsi="Arial"/>
          <w:sz w:val="20"/>
          <w:szCs w:val="20"/>
        </w:rPr>
      </w:pPr>
    </w:p>
    <w:p w14:paraId="3F4AE291" w14:textId="608FF8CF" w:rsidR="00680ADD" w:rsidRDefault="00680ADD" w:rsidP="00680ADD">
      <w:pPr>
        <w:pStyle w:val="Heading1"/>
        <w:keepNext w:val="0"/>
        <w:keepLines w:val="0"/>
        <w:widowControl w:val="0"/>
        <w:ind w:left="1138" w:hanging="1138"/>
      </w:pPr>
      <w:r>
        <w:t>3</w:t>
      </w:r>
      <w:r>
        <w:tab/>
      </w:r>
      <w:r w:rsidRPr="00CE0424">
        <w:t>Discussion</w:t>
      </w:r>
      <w:r>
        <w:t xml:space="preserve"> on </w:t>
      </w:r>
      <w:r w:rsidR="00F1518F">
        <w:t>CSI</w:t>
      </w:r>
      <w:r w:rsidRPr="000D3292">
        <w:t xml:space="preserve"> for NTN</w:t>
      </w:r>
    </w:p>
    <w:p w14:paraId="0E48FF6F" w14:textId="3116FE0A" w:rsidR="00696D10" w:rsidRPr="00FC4045" w:rsidRDefault="00696D10" w:rsidP="00FC4045">
      <w:pPr>
        <w:jc w:val="both"/>
        <w:rPr>
          <w:rFonts w:ascii="Arial" w:hAnsi="Arial" w:cs="Arial"/>
          <w:lang w:eastAsia="ja-JP"/>
        </w:rPr>
      </w:pPr>
      <w:r w:rsidRPr="00FC4045">
        <w:rPr>
          <w:rFonts w:ascii="Arial" w:hAnsi="Arial" w:cs="Arial"/>
          <w:lang w:eastAsia="ja-JP"/>
        </w:rPr>
        <w:t xml:space="preserve">In this </w:t>
      </w:r>
      <w:r w:rsidR="004072B4" w:rsidRPr="00FC4045">
        <w:rPr>
          <w:rFonts w:ascii="Arial" w:hAnsi="Arial" w:cs="Arial"/>
          <w:lang w:eastAsia="ja-JP"/>
        </w:rPr>
        <w:t xml:space="preserve">section, we present </w:t>
      </w:r>
      <w:r w:rsidR="00B84D97" w:rsidRPr="00FC4045">
        <w:rPr>
          <w:rFonts w:ascii="Arial" w:hAnsi="Arial" w:cs="Arial"/>
          <w:lang w:eastAsia="ja-JP"/>
        </w:rPr>
        <w:t xml:space="preserve">evaluation results related to </w:t>
      </w:r>
      <w:r w:rsidR="0066101D" w:rsidRPr="00FC4045">
        <w:rPr>
          <w:rFonts w:ascii="Arial" w:hAnsi="Arial" w:cs="Arial"/>
          <w:lang w:eastAsia="ja-JP"/>
        </w:rPr>
        <w:t>CSI in NTN scenarios.  The detailed evaluation assumptions are given in the Appendix.</w:t>
      </w:r>
    </w:p>
    <w:p w14:paraId="5A1CA11E" w14:textId="6149977D" w:rsidR="00192ABB" w:rsidRPr="00C2297C" w:rsidRDefault="00192ABB" w:rsidP="00BB5ED2">
      <w:pPr>
        <w:jc w:val="both"/>
        <w:rPr>
          <w:rFonts w:ascii="Arial" w:hAnsi="Arial" w:cs="Arial"/>
          <w:lang w:eastAsia="ja-JP"/>
        </w:rPr>
      </w:pPr>
      <w:r w:rsidRPr="00FC4045">
        <w:rPr>
          <w:rFonts w:ascii="Arial" w:hAnsi="Arial" w:cs="Arial"/>
          <w:lang w:eastAsia="ja-JP"/>
        </w:rPr>
        <w:t xml:space="preserve">We first compare </w:t>
      </w:r>
      <w:r w:rsidR="00F17FCE" w:rsidRPr="00FC4045">
        <w:rPr>
          <w:rFonts w:ascii="Arial" w:hAnsi="Arial" w:cs="Arial"/>
          <w:lang w:eastAsia="ja-JP"/>
        </w:rPr>
        <w:t>the throughput loss resulting from increasing feedback delay.  The results corresponding to UE speeds of 3 km/hr, 30 km/hr, and 60 km/hr are shown in Figures 5</w:t>
      </w:r>
      <w:r w:rsidR="00D160E4" w:rsidRPr="00FC4045">
        <w:rPr>
          <w:rFonts w:ascii="Arial" w:hAnsi="Arial" w:cs="Arial"/>
          <w:lang w:eastAsia="ja-JP"/>
        </w:rPr>
        <w:t xml:space="preserve">, 6, and 7, respectively. </w:t>
      </w:r>
      <w:r w:rsidR="00026506" w:rsidRPr="00FC4045">
        <w:rPr>
          <w:rFonts w:ascii="Arial" w:hAnsi="Arial" w:cs="Arial"/>
          <w:lang w:eastAsia="ja-JP"/>
        </w:rPr>
        <w:t xml:space="preserve">We assume that Doppler due to </w:t>
      </w:r>
      <w:r w:rsidR="00026506">
        <w:rPr>
          <w:rFonts w:ascii="Arial" w:hAnsi="Arial" w:cs="Arial"/>
          <w:lang w:eastAsia="ja-JP"/>
        </w:rPr>
        <w:t xml:space="preserve">the </w:t>
      </w:r>
      <w:r w:rsidR="00026506" w:rsidRPr="00FC4045">
        <w:rPr>
          <w:rFonts w:ascii="Arial" w:hAnsi="Arial" w:cs="Arial"/>
          <w:lang w:eastAsia="ja-JP"/>
        </w:rPr>
        <w:t>sat</w:t>
      </w:r>
      <w:r w:rsidR="00026506">
        <w:rPr>
          <w:rFonts w:ascii="Arial" w:hAnsi="Arial" w:cs="Arial"/>
          <w:lang w:eastAsia="ja-JP"/>
        </w:rPr>
        <w:t>ellite</w:t>
      </w:r>
      <w:r w:rsidR="00026506" w:rsidRPr="00FC4045">
        <w:rPr>
          <w:rFonts w:ascii="Arial" w:hAnsi="Arial" w:cs="Arial"/>
          <w:lang w:eastAsia="ja-JP"/>
        </w:rPr>
        <w:t xml:space="preserve"> mobility is compensated for, meaning that the UE mobility is the only factor influencing the Doppler</w:t>
      </w:r>
      <w:r w:rsidR="00026506">
        <w:rPr>
          <w:rFonts w:ascii="Arial" w:hAnsi="Arial" w:cs="Arial"/>
          <w:lang w:eastAsia="ja-JP"/>
        </w:rPr>
        <w:t>.</w:t>
      </w:r>
      <w:r w:rsidR="00D160E4" w:rsidRPr="00FC4045">
        <w:rPr>
          <w:rFonts w:ascii="Arial" w:hAnsi="Arial" w:cs="Arial"/>
          <w:lang w:eastAsia="ja-JP"/>
        </w:rPr>
        <w:t xml:space="preserve"> </w:t>
      </w:r>
      <w:r w:rsidR="00535D1D" w:rsidRPr="00FC4045">
        <w:rPr>
          <w:rFonts w:ascii="Arial" w:hAnsi="Arial" w:cs="Arial"/>
          <w:lang w:eastAsia="ja-JP"/>
        </w:rPr>
        <w:t>In these figures, a feedback delay of 1</w:t>
      </w:r>
      <w:r w:rsidR="00BB5ED2">
        <w:rPr>
          <w:rFonts w:ascii="Arial" w:hAnsi="Arial" w:cs="Arial"/>
          <w:lang w:eastAsia="ja-JP"/>
        </w:rPr>
        <w:t xml:space="preserve"> </w:t>
      </w:r>
      <w:proofErr w:type="spellStart"/>
      <w:r w:rsidR="00535D1D" w:rsidRPr="00FC4045">
        <w:rPr>
          <w:rFonts w:ascii="Arial" w:hAnsi="Arial" w:cs="Arial"/>
          <w:lang w:eastAsia="ja-JP"/>
        </w:rPr>
        <w:t>ms</w:t>
      </w:r>
      <w:proofErr w:type="spellEnd"/>
      <w:r w:rsidR="00535D1D" w:rsidRPr="00FC4045">
        <w:rPr>
          <w:rFonts w:ascii="Arial" w:hAnsi="Arial" w:cs="Arial"/>
          <w:lang w:eastAsia="ja-JP"/>
        </w:rPr>
        <w:t xml:space="preserve"> is used</w:t>
      </w:r>
      <w:r w:rsidR="00F6258B" w:rsidRPr="00FC4045">
        <w:rPr>
          <w:rFonts w:ascii="Arial" w:hAnsi="Arial" w:cs="Arial"/>
          <w:lang w:eastAsia="ja-JP"/>
        </w:rPr>
        <w:t xml:space="preserve">. </w:t>
      </w:r>
      <w:r w:rsidR="0006358C">
        <w:rPr>
          <w:rFonts w:ascii="Arial" w:hAnsi="Arial" w:cs="Arial"/>
          <w:lang w:eastAsia="ja-JP"/>
        </w:rPr>
        <w:t>The feedback is limited to CQI reporting</w:t>
      </w:r>
      <w:r w:rsidR="00EC4A7E">
        <w:rPr>
          <w:rFonts w:ascii="Arial" w:hAnsi="Arial" w:cs="Arial"/>
          <w:lang w:eastAsia="ja-JP"/>
        </w:rPr>
        <w:t xml:space="preserve"> (note that we are considering a rank 1 scenario where rank is </w:t>
      </w:r>
      <w:r w:rsidR="00E033B5">
        <w:rPr>
          <w:rFonts w:ascii="Arial" w:hAnsi="Arial" w:cs="Arial"/>
          <w:lang w:eastAsia="ja-JP"/>
        </w:rPr>
        <w:t>fixed to 1 and PMI feedback is not needed)</w:t>
      </w:r>
      <w:r w:rsidR="0006358C">
        <w:rPr>
          <w:rFonts w:ascii="Arial" w:hAnsi="Arial" w:cs="Arial"/>
          <w:lang w:eastAsia="ja-JP"/>
        </w:rPr>
        <w:t>.</w:t>
      </w:r>
      <w:r w:rsidR="00F6258B" w:rsidRPr="00FC4045">
        <w:rPr>
          <w:rFonts w:ascii="Arial" w:hAnsi="Arial" w:cs="Arial"/>
          <w:lang w:eastAsia="ja-JP"/>
        </w:rPr>
        <w:t xml:space="preserve"> </w:t>
      </w:r>
      <w:r w:rsidR="0025463C" w:rsidRPr="00FC4045">
        <w:rPr>
          <w:rFonts w:ascii="Arial" w:hAnsi="Arial" w:cs="Arial"/>
          <w:lang w:eastAsia="ja-JP"/>
        </w:rPr>
        <w:t xml:space="preserve">From Figure 5, it is noticed that </w:t>
      </w:r>
      <w:r w:rsidR="00AE108E" w:rsidRPr="00FC4045">
        <w:rPr>
          <w:rFonts w:ascii="Arial" w:hAnsi="Arial" w:cs="Arial"/>
          <w:lang w:eastAsia="ja-JP"/>
        </w:rPr>
        <w:t xml:space="preserve">there is </w:t>
      </w:r>
      <w:r w:rsidR="00535D1D" w:rsidRPr="00FC4045">
        <w:rPr>
          <w:rFonts w:ascii="Arial" w:hAnsi="Arial" w:cs="Arial"/>
          <w:lang w:eastAsia="ja-JP"/>
        </w:rPr>
        <w:lastRenderedPageBreak/>
        <w:t>notable</w:t>
      </w:r>
      <w:r w:rsidR="0011097A" w:rsidRPr="00FC4045">
        <w:rPr>
          <w:rFonts w:ascii="Arial" w:hAnsi="Arial" w:cs="Arial"/>
          <w:lang w:eastAsia="ja-JP"/>
        </w:rPr>
        <w:t xml:space="preserve"> throughput loss </w:t>
      </w:r>
      <w:r w:rsidR="00F6258B" w:rsidRPr="00FC4045">
        <w:rPr>
          <w:rFonts w:ascii="Arial" w:hAnsi="Arial" w:cs="Arial"/>
          <w:lang w:eastAsia="ja-JP"/>
        </w:rPr>
        <w:t>as the</w:t>
      </w:r>
      <w:r w:rsidR="00EC7279" w:rsidRPr="00FC4045">
        <w:rPr>
          <w:rFonts w:ascii="Arial" w:hAnsi="Arial" w:cs="Arial"/>
          <w:lang w:eastAsia="ja-JP"/>
        </w:rPr>
        <w:t xml:space="preserve"> feedback delay increases from 1</w:t>
      </w:r>
      <w:r w:rsidR="00BB5ED2">
        <w:rPr>
          <w:rFonts w:ascii="Arial" w:hAnsi="Arial" w:cs="Arial"/>
          <w:lang w:eastAsia="ja-JP"/>
        </w:rPr>
        <w:t xml:space="preserve"> </w:t>
      </w:r>
      <w:r w:rsidR="00EC7279" w:rsidRPr="00FC4045">
        <w:rPr>
          <w:rFonts w:ascii="Arial" w:hAnsi="Arial" w:cs="Arial"/>
          <w:lang w:eastAsia="ja-JP"/>
        </w:rPr>
        <w:t>ms to 40</w:t>
      </w:r>
      <w:r w:rsidR="00BB5ED2">
        <w:rPr>
          <w:rFonts w:ascii="Arial" w:hAnsi="Arial" w:cs="Arial"/>
          <w:lang w:eastAsia="ja-JP"/>
        </w:rPr>
        <w:t xml:space="preserve"> </w:t>
      </w:r>
      <w:r w:rsidR="00EC7279" w:rsidRPr="00FC4045">
        <w:rPr>
          <w:rFonts w:ascii="Arial" w:hAnsi="Arial" w:cs="Arial"/>
          <w:lang w:eastAsia="ja-JP"/>
        </w:rPr>
        <w:t>ms</w:t>
      </w:r>
      <w:r w:rsidR="004C09BF" w:rsidRPr="00FC4045">
        <w:rPr>
          <w:rFonts w:ascii="Arial" w:hAnsi="Arial" w:cs="Arial"/>
          <w:lang w:eastAsia="ja-JP"/>
        </w:rPr>
        <w:t xml:space="preserve"> at a UE speed of 3 km/hr</w:t>
      </w:r>
      <w:r w:rsidR="00EC7279" w:rsidRPr="00FC4045">
        <w:rPr>
          <w:rFonts w:ascii="Arial" w:hAnsi="Arial" w:cs="Arial"/>
          <w:lang w:eastAsia="ja-JP"/>
        </w:rPr>
        <w:t xml:space="preserve">.  This is because as the channel ages, the gNB schedules the UE with </w:t>
      </w:r>
      <w:r w:rsidR="001E390A" w:rsidRPr="00FC4045">
        <w:rPr>
          <w:rFonts w:ascii="Arial" w:hAnsi="Arial" w:cs="Arial"/>
          <w:lang w:eastAsia="ja-JP"/>
        </w:rPr>
        <w:t>outdated MCS which in turn results in throughput loss.  However, beyond 40</w:t>
      </w:r>
      <w:r w:rsidR="00BB5ED2">
        <w:rPr>
          <w:rFonts w:ascii="Arial" w:hAnsi="Arial" w:cs="Arial"/>
          <w:lang w:eastAsia="ja-JP"/>
        </w:rPr>
        <w:t xml:space="preserve"> </w:t>
      </w:r>
      <w:r w:rsidR="001E390A" w:rsidRPr="00B10D5F">
        <w:rPr>
          <w:rFonts w:ascii="Arial" w:hAnsi="Arial" w:cs="Arial"/>
          <w:lang w:eastAsia="ja-JP"/>
        </w:rPr>
        <w:t xml:space="preserve">ms feedback delay, there is </w:t>
      </w:r>
      <w:r w:rsidR="0095620F" w:rsidRPr="00B10D5F">
        <w:rPr>
          <w:rFonts w:ascii="Arial" w:hAnsi="Arial" w:cs="Arial"/>
          <w:lang w:eastAsia="ja-JP"/>
        </w:rPr>
        <w:t xml:space="preserve">no further throughput loss.  </w:t>
      </w:r>
      <w:r w:rsidR="00230CFF" w:rsidRPr="00B10D5F">
        <w:rPr>
          <w:rFonts w:ascii="Arial" w:hAnsi="Arial" w:cs="Arial"/>
          <w:lang w:eastAsia="ja-JP"/>
        </w:rPr>
        <w:t xml:space="preserve">The coherence time in the case of Figure 5 is </w:t>
      </w:r>
      <w:r w:rsidR="00FF0A9D" w:rsidRPr="00B10D5F">
        <w:rPr>
          <w:rFonts w:ascii="Arial" w:hAnsi="Arial" w:cs="Arial"/>
          <w:lang w:eastAsia="ja-JP"/>
        </w:rPr>
        <w:t>~180</w:t>
      </w:r>
      <w:r w:rsidR="00BB5ED2">
        <w:rPr>
          <w:rFonts w:ascii="Arial" w:hAnsi="Arial" w:cs="Arial"/>
          <w:lang w:eastAsia="ja-JP"/>
        </w:rPr>
        <w:t xml:space="preserve"> </w:t>
      </w:r>
      <w:r w:rsidR="00FF0A9D" w:rsidRPr="00B10D5F">
        <w:rPr>
          <w:rFonts w:ascii="Arial" w:hAnsi="Arial" w:cs="Arial"/>
          <w:lang w:eastAsia="ja-JP"/>
        </w:rPr>
        <w:t xml:space="preserve">ms.  So once the </w:t>
      </w:r>
      <w:r w:rsidR="005C11B7" w:rsidRPr="00B10D5F">
        <w:rPr>
          <w:rFonts w:ascii="Arial" w:hAnsi="Arial" w:cs="Arial"/>
          <w:lang w:eastAsia="ja-JP"/>
        </w:rPr>
        <w:t>feedback delay is beyond a notable fraction of the coherence time</w:t>
      </w:r>
      <w:r w:rsidR="005C11B7" w:rsidRPr="00C2297C">
        <w:rPr>
          <w:rFonts w:ascii="Arial" w:hAnsi="Arial" w:cs="Arial"/>
          <w:lang w:eastAsia="ja-JP"/>
        </w:rPr>
        <w:t xml:space="preserve">, </w:t>
      </w:r>
      <w:r w:rsidR="00FB72EC" w:rsidRPr="00C2297C">
        <w:rPr>
          <w:rFonts w:ascii="Arial" w:hAnsi="Arial" w:cs="Arial"/>
          <w:lang w:eastAsia="ja-JP"/>
        </w:rPr>
        <w:t xml:space="preserve">further </w:t>
      </w:r>
      <w:r w:rsidR="00483E23" w:rsidRPr="00C2297C">
        <w:rPr>
          <w:rFonts w:ascii="Arial" w:hAnsi="Arial" w:cs="Arial"/>
          <w:lang w:eastAsia="ja-JP"/>
        </w:rPr>
        <w:t>feedback delays do not hurt the throughput performance further.</w:t>
      </w:r>
      <w:r w:rsidR="009D433D" w:rsidRPr="00C2297C">
        <w:rPr>
          <w:rFonts w:ascii="Arial" w:hAnsi="Arial" w:cs="Arial"/>
          <w:lang w:eastAsia="ja-JP"/>
        </w:rPr>
        <w:t xml:space="preserve">  In </w:t>
      </w:r>
      <w:r w:rsidR="004C09BF" w:rsidRPr="00C2297C">
        <w:rPr>
          <w:rFonts w:ascii="Arial" w:hAnsi="Arial" w:cs="Arial"/>
          <w:lang w:eastAsia="ja-JP"/>
        </w:rPr>
        <w:t>the cases of Figures 6</w:t>
      </w:r>
      <w:r w:rsidR="00867DA6" w:rsidRPr="00C2297C">
        <w:rPr>
          <w:rFonts w:ascii="Arial" w:hAnsi="Arial" w:cs="Arial"/>
          <w:lang w:eastAsia="ja-JP"/>
        </w:rPr>
        <w:t xml:space="preserve"> and 7 with UE speeds of 30 km/hr and 60 km/hr, respectively</w:t>
      </w:r>
      <w:r w:rsidR="004C09BF" w:rsidRPr="00C2297C">
        <w:rPr>
          <w:rFonts w:ascii="Arial" w:hAnsi="Arial" w:cs="Arial"/>
          <w:lang w:eastAsia="ja-JP"/>
        </w:rPr>
        <w:t xml:space="preserve">, </w:t>
      </w:r>
      <w:r w:rsidR="00867DA6" w:rsidRPr="00C2297C">
        <w:rPr>
          <w:rFonts w:ascii="Arial" w:hAnsi="Arial" w:cs="Arial"/>
          <w:lang w:eastAsia="ja-JP"/>
        </w:rPr>
        <w:t xml:space="preserve">the throughput </w:t>
      </w:r>
      <w:r w:rsidR="00592B5A">
        <w:rPr>
          <w:rFonts w:ascii="Arial" w:hAnsi="Arial" w:cs="Arial"/>
          <w:lang w:eastAsia="ja-JP"/>
        </w:rPr>
        <w:t xml:space="preserve">degradation </w:t>
      </w:r>
      <w:r w:rsidR="00867DA6" w:rsidRPr="00C2297C">
        <w:rPr>
          <w:rFonts w:ascii="Arial" w:hAnsi="Arial" w:cs="Arial"/>
          <w:lang w:eastAsia="ja-JP"/>
        </w:rPr>
        <w:t xml:space="preserve">saturates much earlier at around 5 ms feedback delay.  This is because the </w:t>
      </w:r>
      <w:r w:rsidR="00F74BEF" w:rsidRPr="00C2297C">
        <w:rPr>
          <w:rFonts w:ascii="Arial" w:hAnsi="Arial" w:cs="Arial"/>
          <w:lang w:eastAsia="ja-JP"/>
        </w:rPr>
        <w:t>channel coherence time is much smaller</w:t>
      </w:r>
      <w:r w:rsidR="0089753A" w:rsidRPr="00C2297C">
        <w:rPr>
          <w:rFonts w:ascii="Arial" w:hAnsi="Arial" w:cs="Arial"/>
          <w:lang w:eastAsia="ja-JP"/>
        </w:rPr>
        <w:t xml:space="preserve"> and hence the throughput loss saturation happens much earlier.  Based on these results, we make the following observation</w:t>
      </w:r>
      <w:r w:rsidR="00040DFC" w:rsidRPr="00C2297C">
        <w:rPr>
          <w:rFonts w:ascii="Arial" w:hAnsi="Arial" w:cs="Arial"/>
          <w:lang w:eastAsia="ja-JP"/>
        </w:rPr>
        <w:t>:</w:t>
      </w:r>
    </w:p>
    <w:p w14:paraId="52BEC259" w14:textId="77539DAA" w:rsidR="00040DFC" w:rsidRPr="00040DFC" w:rsidRDefault="00040DFC" w:rsidP="00040DFC">
      <w:pPr>
        <w:rPr>
          <w:rFonts w:ascii="Arial" w:hAnsi="Arial"/>
          <w:b/>
          <w:i/>
          <w:sz w:val="20"/>
          <w:szCs w:val="20"/>
        </w:rPr>
      </w:pPr>
      <w:r w:rsidRPr="00040DFC">
        <w:rPr>
          <w:rFonts w:ascii="Arial" w:hAnsi="Arial"/>
          <w:b/>
          <w:i/>
          <w:sz w:val="20"/>
          <w:szCs w:val="20"/>
        </w:rPr>
        <w:t>Observation</w:t>
      </w:r>
      <w:r>
        <w:rPr>
          <w:rFonts w:ascii="Arial" w:hAnsi="Arial"/>
          <w:b/>
          <w:i/>
          <w:sz w:val="20"/>
          <w:szCs w:val="20"/>
        </w:rPr>
        <w:t xml:space="preserve"> 1</w:t>
      </w:r>
      <w:r w:rsidRPr="00040DFC">
        <w:rPr>
          <w:rFonts w:ascii="Arial" w:hAnsi="Arial"/>
          <w:b/>
          <w:i/>
          <w:sz w:val="20"/>
          <w:szCs w:val="20"/>
        </w:rPr>
        <w:t>:  There is throughput loss with increasing feedback delay.  However, the throughput loss saturates beyond a certain feedback delay depending on the UE speed.</w:t>
      </w:r>
    </w:p>
    <w:p w14:paraId="7B32C3A5" w14:textId="5B3B5935" w:rsidR="00040DFC" w:rsidRPr="00040DFC" w:rsidRDefault="00040DFC" w:rsidP="00040DFC">
      <w:pPr>
        <w:pStyle w:val="ListParagraph"/>
        <w:numPr>
          <w:ilvl w:val="0"/>
          <w:numId w:val="20"/>
        </w:numPr>
        <w:rPr>
          <w:rFonts w:ascii="Arial" w:hAnsi="Arial"/>
          <w:b/>
          <w:i/>
          <w:sz w:val="20"/>
          <w:szCs w:val="20"/>
        </w:rPr>
      </w:pPr>
      <w:r w:rsidRPr="00040DFC">
        <w:rPr>
          <w:rFonts w:ascii="Arial" w:hAnsi="Arial"/>
          <w:b/>
          <w:i/>
          <w:sz w:val="20"/>
          <w:szCs w:val="20"/>
        </w:rPr>
        <w:t>At UE speed of 3 km/</w:t>
      </w:r>
      <w:proofErr w:type="spellStart"/>
      <w:r w:rsidRPr="00040DFC">
        <w:rPr>
          <w:rFonts w:ascii="Arial" w:hAnsi="Arial"/>
          <w:b/>
          <w:i/>
          <w:sz w:val="20"/>
          <w:szCs w:val="20"/>
        </w:rPr>
        <w:t>hr</w:t>
      </w:r>
      <w:proofErr w:type="spellEnd"/>
      <w:r w:rsidRPr="00040DFC">
        <w:rPr>
          <w:rFonts w:ascii="Arial" w:hAnsi="Arial"/>
          <w:b/>
          <w:i/>
          <w:sz w:val="20"/>
          <w:szCs w:val="20"/>
        </w:rPr>
        <w:t xml:space="preserve">, the throughput </w:t>
      </w:r>
      <w:r w:rsidR="009509D6" w:rsidRPr="00C2297C">
        <w:rPr>
          <w:rFonts w:ascii="Arial" w:hAnsi="Arial"/>
          <w:b/>
          <w:i/>
          <w:sz w:val="20"/>
          <w:szCs w:val="20"/>
          <w:lang w:val="en-US"/>
        </w:rPr>
        <w:t xml:space="preserve">loss </w:t>
      </w:r>
      <w:r w:rsidRPr="00040DFC">
        <w:rPr>
          <w:rFonts w:ascii="Arial" w:hAnsi="Arial"/>
          <w:b/>
          <w:i/>
          <w:sz w:val="20"/>
          <w:szCs w:val="20"/>
        </w:rPr>
        <w:t>saturates beyond 40</w:t>
      </w:r>
      <w:r w:rsidR="00BB5ED2">
        <w:rPr>
          <w:rFonts w:ascii="Arial" w:hAnsi="Arial"/>
          <w:b/>
          <w:i/>
          <w:sz w:val="20"/>
          <w:szCs w:val="20"/>
          <w:lang w:val="en-US"/>
        </w:rPr>
        <w:t xml:space="preserve"> </w:t>
      </w:r>
      <w:r w:rsidRPr="00040DFC">
        <w:rPr>
          <w:rFonts w:ascii="Arial" w:hAnsi="Arial"/>
          <w:b/>
          <w:i/>
          <w:sz w:val="20"/>
          <w:szCs w:val="20"/>
        </w:rPr>
        <w:t>ms feedback delay.</w:t>
      </w:r>
    </w:p>
    <w:p w14:paraId="4357C648" w14:textId="214CCC03" w:rsidR="00040DFC" w:rsidRPr="00C2297C" w:rsidRDefault="00040DFC" w:rsidP="00040DFC">
      <w:pPr>
        <w:pStyle w:val="ListParagraph"/>
        <w:numPr>
          <w:ilvl w:val="0"/>
          <w:numId w:val="20"/>
        </w:numPr>
        <w:jc w:val="both"/>
        <w:rPr>
          <w:b/>
          <w:i/>
          <w:lang w:val="en-GB" w:eastAsia="ja-JP"/>
        </w:rPr>
      </w:pPr>
      <w:r w:rsidRPr="00040DFC">
        <w:rPr>
          <w:rFonts w:ascii="Arial" w:hAnsi="Arial"/>
          <w:b/>
          <w:i/>
          <w:sz w:val="20"/>
          <w:szCs w:val="20"/>
        </w:rPr>
        <w:t>At UE speeds of 30 km/</w:t>
      </w:r>
      <w:proofErr w:type="spellStart"/>
      <w:r w:rsidRPr="00040DFC">
        <w:rPr>
          <w:rFonts w:ascii="Arial" w:hAnsi="Arial"/>
          <w:b/>
          <w:i/>
          <w:sz w:val="20"/>
          <w:szCs w:val="20"/>
        </w:rPr>
        <w:t>hr</w:t>
      </w:r>
      <w:proofErr w:type="spellEnd"/>
      <w:r w:rsidRPr="00040DFC">
        <w:rPr>
          <w:rFonts w:ascii="Arial" w:hAnsi="Arial"/>
          <w:b/>
          <w:i/>
          <w:sz w:val="20"/>
          <w:szCs w:val="20"/>
        </w:rPr>
        <w:t xml:space="preserve"> and 60 km/</w:t>
      </w:r>
      <w:proofErr w:type="spellStart"/>
      <w:r w:rsidRPr="00040DFC">
        <w:rPr>
          <w:rFonts w:ascii="Arial" w:hAnsi="Arial"/>
          <w:b/>
          <w:i/>
          <w:sz w:val="20"/>
          <w:szCs w:val="20"/>
        </w:rPr>
        <w:t>hr</w:t>
      </w:r>
      <w:proofErr w:type="spellEnd"/>
      <w:r w:rsidRPr="00040DFC">
        <w:rPr>
          <w:rFonts w:ascii="Arial" w:hAnsi="Arial"/>
          <w:b/>
          <w:i/>
          <w:sz w:val="20"/>
          <w:szCs w:val="20"/>
        </w:rPr>
        <w:t xml:space="preserve">, the throughput </w:t>
      </w:r>
      <w:r w:rsidR="009509D6" w:rsidRPr="00C2297C">
        <w:rPr>
          <w:rFonts w:ascii="Arial" w:hAnsi="Arial"/>
          <w:b/>
          <w:i/>
          <w:sz w:val="20"/>
          <w:szCs w:val="20"/>
          <w:lang w:val="en-US"/>
        </w:rPr>
        <w:t xml:space="preserve">loss </w:t>
      </w:r>
      <w:r w:rsidRPr="00040DFC">
        <w:rPr>
          <w:rFonts w:ascii="Arial" w:hAnsi="Arial"/>
          <w:b/>
          <w:i/>
          <w:sz w:val="20"/>
          <w:szCs w:val="20"/>
        </w:rPr>
        <w:t>saturates beyond 5</w:t>
      </w:r>
      <w:r w:rsidR="00BB5ED2">
        <w:rPr>
          <w:rFonts w:ascii="Arial" w:hAnsi="Arial"/>
          <w:b/>
          <w:i/>
          <w:sz w:val="20"/>
          <w:szCs w:val="20"/>
          <w:lang w:val="en-US"/>
        </w:rPr>
        <w:t xml:space="preserve"> </w:t>
      </w:r>
      <w:r w:rsidRPr="00040DFC">
        <w:rPr>
          <w:rFonts w:ascii="Arial" w:hAnsi="Arial"/>
          <w:b/>
          <w:i/>
          <w:sz w:val="20"/>
          <w:szCs w:val="20"/>
        </w:rPr>
        <w:t>ms feedback delay.</w:t>
      </w:r>
    </w:p>
    <w:p w14:paraId="625E53DC" w14:textId="77E961D8" w:rsidR="00592B5A" w:rsidRPr="00040DFC" w:rsidRDefault="00592B5A" w:rsidP="00040DFC">
      <w:pPr>
        <w:pStyle w:val="ListParagraph"/>
        <w:numPr>
          <w:ilvl w:val="0"/>
          <w:numId w:val="20"/>
        </w:numPr>
        <w:jc w:val="both"/>
        <w:rPr>
          <w:b/>
          <w:i/>
          <w:lang w:val="en-GB" w:eastAsia="ja-JP"/>
        </w:rPr>
      </w:pPr>
      <w:r w:rsidRPr="00C2297C">
        <w:rPr>
          <w:rFonts w:ascii="Arial" w:hAnsi="Arial"/>
          <w:b/>
          <w:i/>
          <w:sz w:val="20"/>
          <w:szCs w:val="20"/>
          <w:lang w:val="en-US"/>
        </w:rPr>
        <w:t xml:space="preserve">At 60km/h the </w:t>
      </w:r>
      <w:r w:rsidR="009509D6" w:rsidRPr="00040DFC">
        <w:rPr>
          <w:rFonts w:ascii="Arial" w:hAnsi="Arial"/>
          <w:b/>
          <w:i/>
          <w:sz w:val="20"/>
          <w:szCs w:val="20"/>
        </w:rPr>
        <w:t xml:space="preserve">throughput </w:t>
      </w:r>
      <w:r w:rsidR="009509D6" w:rsidRPr="00DF2C53">
        <w:rPr>
          <w:rFonts w:ascii="Arial" w:hAnsi="Arial"/>
          <w:b/>
          <w:i/>
          <w:sz w:val="20"/>
          <w:szCs w:val="20"/>
          <w:lang w:val="en-US"/>
        </w:rPr>
        <w:t>loss</w:t>
      </w:r>
      <w:r w:rsidR="009509D6">
        <w:rPr>
          <w:rFonts w:ascii="Arial" w:hAnsi="Arial"/>
          <w:b/>
          <w:i/>
          <w:sz w:val="20"/>
          <w:szCs w:val="20"/>
          <w:lang w:val="en-US"/>
        </w:rPr>
        <w:t xml:space="preserve"> is negligible.</w:t>
      </w:r>
    </w:p>
    <w:p w14:paraId="36E2999C" w14:textId="4019E800" w:rsidR="00680ADD" w:rsidRDefault="00B87EE3" w:rsidP="00680ADD">
      <w:pPr>
        <w:pStyle w:val="Heading2"/>
        <w:keepNext w:val="0"/>
        <w:keepLines w:val="0"/>
        <w:ind w:left="0" w:firstLine="0"/>
        <w:jc w:val="center"/>
        <w:rPr>
          <w:rFonts w:cs="Arial"/>
          <w:sz w:val="20"/>
          <w:lang w:eastAsia="zh-CN"/>
        </w:rPr>
      </w:pPr>
      <w:r w:rsidRPr="00B87EE3">
        <w:drawing>
          <wp:inline distT="0" distB="0" distL="0" distR="0" wp14:anchorId="3CE628BC" wp14:editId="3E4CDCEA">
            <wp:extent cx="3657600" cy="27522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4447" t="2992" r="3588"/>
                    <a:stretch/>
                  </pic:blipFill>
                  <pic:spPr bwMode="auto">
                    <a:xfrm>
                      <a:off x="0" y="0"/>
                      <a:ext cx="3657600" cy="2752220"/>
                    </a:xfrm>
                    <a:prstGeom prst="rect">
                      <a:avLst/>
                    </a:prstGeom>
                    <a:ln>
                      <a:noFill/>
                    </a:ln>
                    <a:extLst>
                      <a:ext uri="{53640926-AAD7-44D8-BBD7-CCE9431645EC}">
                        <a14:shadowObscured xmlns:a14="http://schemas.microsoft.com/office/drawing/2010/main"/>
                      </a:ext>
                    </a:extLst>
                  </pic:spPr>
                </pic:pic>
              </a:graphicData>
            </a:graphic>
          </wp:inline>
        </w:drawing>
      </w:r>
    </w:p>
    <w:p w14:paraId="5C86ED4F" w14:textId="3354EDE7" w:rsidR="00680ADD" w:rsidRDefault="00680ADD" w:rsidP="00680ADD">
      <w:pPr>
        <w:jc w:val="center"/>
        <w:rPr>
          <w:rFonts w:ascii="Arial" w:hAnsi="Arial"/>
          <w:sz w:val="20"/>
          <w:szCs w:val="20"/>
        </w:rPr>
      </w:pPr>
      <w:r>
        <w:rPr>
          <w:rFonts w:ascii="Arial" w:hAnsi="Arial"/>
          <w:sz w:val="20"/>
          <w:szCs w:val="20"/>
        </w:rPr>
        <w:t xml:space="preserve">Figure </w:t>
      </w:r>
      <w:r w:rsidR="004072B4">
        <w:rPr>
          <w:rFonts w:ascii="Arial" w:hAnsi="Arial"/>
          <w:sz w:val="20"/>
          <w:szCs w:val="20"/>
        </w:rPr>
        <w:t>5</w:t>
      </w:r>
      <w:r>
        <w:rPr>
          <w:rFonts w:ascii="Arial" w:hAnsi="Arial"/>
          <w:sz w:val="20"/>
          <w:szCs w:val="20"/>
        </w:rPr>
        <w:t>.  Evaluation results on impact of feedback delay on throughput</w:t>
      </w:r>
      <w:r w:rsidR="00E44CF1">
        <w:rPr>
          <w:rFonts w:ascii="Arial" w:hAnsi="Arial"/>
          <w:sz w:val="20"/>
          <w:szCs w:val="20"/>
        </w:rPr>
        <w:t xml:space="preserve"> at UE speed of 3 km/hr</w:t>
      </w:r>
    </w:p>
    <w:p w14:paraId="08006B47" w14:textId="37BB917C" w:rsidR="00E44CF1" w:rsidRDefault="00E44CF1" w:rsidP="00E44CF1">
      <w:pPr>
        <w:pStyle w:val="Heading2"/>
        <w:keepNext w:val="0"/>
        <w:keepLines w:val="0"/>
        <w:ind w:left="0" w:firstLine="0"/>
        <w:jc w:val="center"/>
        <w:rPr>
          <w:rFonts w:cs="Arial"/>
          <w:sz w:val="20"/>
          <w:lang w:eastAsia="zh-CN"/>
        </w:rPr>
      </w:pPr>
    </w:p>
    <w:p w14:paraId="498D16FE" w14:textId="55D07A83" w:rsidR="00E44CF1" w:rsidRPr="00E44CF1" w:rsidRDefault="00740A74" w:rsidP="00E44CF1">
      <w:pPr>
        <w:jc w:val="center"/>
        <w:rPr>
          <w:lang w:eastAsia="zh-CN"/>
        </w:rPr>
      </w:pPr>
      <w:r>
        <w:rPr>
          <w:noProof/>
        </w:rPr>
        <w:lastRenderedPageBreak/>
        <w:drawing>
          <wp:inline distT="0" distB="0" distL="0" distR="0" wp14:anchorId="39F8E987" wp14:editId="3EAFBB94">
            <wp:extent cx="3657600" cy="2734052"/>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2401" r="2178" b="1246"/>
                    <a:stretch/>
                  </pic:blipFill>
                  <pic:spPr bwMode="auto">
                    <a:xfrm>
                      <a:off x="0" y="0"/>
                      <a:ext cx="3657600" cy="2734052"/>
                    </a:xfrm>
                    <a:prstGeom prst="rect">
                      <a:avLst/>
                    </a:prstGeom>
                    <a:ln>
                      <a:noFill/>
                    </a:ln>
                    <a:extLst>
                      <a:ext uri="{53640926-AAD7-44D8-BBD7-CCE9431645EC}">
                        <a14:shadowObscured xmlns:a14="http://schemas.microsoft.com/office/drawing/2010/main"/>
                      </a:ext>
                    </a:extLst>
                  </pic:spPr>
                </pic:pic>
              </a:graphicData>
            </a:graphic>
          </wp:inline>
        </w:drawing>
      </w:r>
    </w:p>
    <w:p w14:paraId="1320384B" w14:textId="047F37BD" w:rsidR="00E44CF1" w:rsidRDefault="00E44CF1" w:rsidP="00E44CF1">
      <w:pPr>
        <w:jc w:val="center"/>
        <w:rPr>
          <w:rFonts w:ascii="Arial" w:hAnsi="Arial"/>
          <w:sz w:val="20"/>
          <w:szCs w:val="20"/>
        </w:rPr>
      </w:pPr>
      <w:r>
        <w:rPr>
          <w:rFonts w:ascii="Arial" w:hAnsi="Arial"/>
          <w:sz w:val="20"/>
          <w:szCs w:val="20"/>
        </w:rPr>
        <w:t xml:space="preserve">Figure </w:t>
      </w:r>
      <w:r w:rsidR="00887048">
        <w:rPr>
          <w:rFonts w:ascii="Arial" w:hAnsi="Arial"/>
          <w:sz w:val="20"/>
          <w:szCs w:val="20"/>
        </w:rPr>
        <w:t>6</w:t>
      </w:r>
      <w:r>
        <w:rPr>
          <w:rFonts w:ascii="Arial" w:hAnsi="Arial"/>
          <w:sz w:val="20"/>
          <w:szCs w:val="20"/>
        </w:rPr>
        <w:t>.  Evaluation results on impact of feedback delay on throughput at UE speed of 30 km/hr</w:t>
      </w:r>
    </w:p>
    <w:p w14:paraId="1F89F17A" w14:textId="274E1EE8" w:rsidR="00852E65" w:rsidRDefault="00852E65" w:rsidP="00E44CF1">
      <w:pPr>
        <w:jc w:val="center"/>
        <w:rPr>
          <w:rFonts w:ascii="Arial" w:hAnsi="Arial"/>
          <w:sz w:val="20"/>
          <w:szCs w:val="20"/>
        </w:rPr>
      </w:pPr>
    </w:p>
    <w:p w14:paraId="7B047D39" w14:textId="00B70F5D" w:rsidR="00852E65" w:rsidRDefault="00AA33A2" w:rsidP="00E44CF1">
      <w:pPr>
        <w:jc w:val="center"/>
        <w:rPr>
          <w:rFonts w:ascii="Arial" w:hAnsi="Arial"/>
          <w:sz w:val="20"/>
          <w:szCs w:val="20"/>
        </w:rPr>
      </w:pPr>
      <w:r>
        <w:rPr>
          <w:noProof/>
        </w:rPr>
        <w:drawing>
          <wp:inline distT="0" distB="0" distL="0" distR="0" wp14:anchorId="09D5178A" wp14:editId="532BB52B">
            <wp:extent cx="3657600" cy="2725638"/>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2756" t="1819" r="1647" b="1072"/>
                    <a:stretch/>
                  </pic:blipFill>
                  <pic:spPr bwMode="auto">
                    <a:xfrm>
                      <a:off x="0" y="0"/>
                      <a:ext cx="3657600" cy="2725638"/>
                    </a:xfrm>
                    <a:prstGeom prst="rect">
                      <a:avLst/>
                    </a:prstGeom>
                    <a:ln>
                      <a:noFill/>
                    </a:ln>
                    <a:extLst>
                      <a:ext uri="{53640926-AAD7-44D8-BBD7-CCE9431645EC}">
                        <a14:shadowObscured xmlns:a14="http://schemas.microsoft.com/office/drawing/2010/main"/>
                      </a:ext>
                    </a:extLst>
                  </pic:spPr>
                </pic:pic>
              </a:graphicData>
            </a:graphic>
          </wp:inline>
        </w:drawing>
      </w:r>
    </w:p>
    <w:p w14:paraId="66D7DB00" w14:textId="4A502349" w:rsidR="00852E65" w:rsidRDefault="00852E65" w:rsidP="00852E65">
      <w:pPr>
        <w:jc w:val="center"/>
        <w:rPr>
          <w:rFonts w:ascii="Arial" w:hAnsi="Arial"/>
          <w:sz w:val="20"/>
          <w:szCs w:val="20"/>
        </w:rPr>
      </w:pPr>
      <w:r>
        <w:rPr>
          <w:rFonts w:ascii="Arial" w:hAnsi="Arial"/>
          <w:sz w:val="20"/>
          <w:szCs w:val="20"/>
        </w:rPr>
        <w:t xml:space="preserve">Figure </w:t>
      </w:r>
      <w:r w:rsidR="00024472">
        <w:rPr>
          <w:rFonts w:ascii="Arial" w:hAnsi="Arial"/>
          <w:sz w:val="20"/>
          <w:szCs w:val="20"/>
        </w:rPr>
        <w:t>7</w:t>
      </w:r>
      <w:r>
        <w:rPr>
          <w:rFonts w:ascii="Arial" w:hAnsi="Arial"/>
          <w:sz w:val="20"/>
          <w:szCs w:val="20"/>
        </w:rPr>
        <w:t xml:space="preserve">.  Evaluation results on impact of feedback delay on throughput at UE speed of </w:t>
      </w:r>
      <w:r w:rsidR="00703270">
        <w:rPr>
          <w:rFonts w:ascii="Arial" w:hAnsi="Arial"/>
          <w:sz w:val="20"/>
          <w:szCs w:val="20"/>
        </w:rPr>
        <w:t xml:space="preserve">60 </w:t>
      </w:r>
      <w:r>
        <w:rPr>
          <w:rFonts w:ascii="Arial" w:hAnsi="Arial"/>
          <w:sz w:val="20"/>
          <w:szCs w:val="20"/>
        </w:rPr>
        <w:t>km/</w:t>
      </w:r>
      <w:proofErr w:type="spellStart"/>
      <w:r>
        <w:rPr>
          <w:rFonts w:ascii="Arial" w:hAnsi="Arial"/>
          <w:sz w:val="20"/>
          <w:szCs w:val="20"/>
        </w:rPr>
        <w:t>hr</w:t>
      </w:r>
      <w:proofErr w:type="spellEnd"/>
    </w:p>
    <w:p w14:paraId="0DD60704" w14:textId="77777777" w:rsidR="00852E65" w:rsidRDefault="00852E65" w:rsidP="00E44CF1">
      <w:pPr>
        <w:jc w:val="center"/>
        <w:rPr>
          <w:rFonts w:ascii="Arial" w:hAnsi="Arial"/>
          <w:sz w:val="20"/>
          <w:szCs w:val="20"/>
          <w:highlight w:val="yellow"/>
        </w:rPr>
      </w:pPr>
    </w:p>
    <w:p w14:paraId="4576F4DF" w14:textId="77777777" w:rsidR="00CB5B0F" w:rsidRPr="0067296C" w:rsidRDefault="00040DFC" w:rsidP="00CB5B0F">
      <w:pPr>
        <w:jc w:val="both"/>
        <w:rPr>
          <w:rFonts w:ascii="Arial" w:hAnsi="Arial" w:cs="Arial"/>
          <w:lang w:eastAsia="ja-JP"/>
        </w:rPr>
      </w:pPr>
      <w:r w:rsidRPr="00BB5ED2">
        <w:rPr>
          <w:rFonts w:ascii="Arial" w:hAnsi="Arial" w:cs="Arial"/>
          <w:sz w:val="20"/>
          <w:szCs w:val="20"/>
        </w:rPr>
        <w:t>One of the schemes proposed in RAN</w:t>
      </w:r>
      <w:r w:rsidR="00CE6CB5" w:rsidRPr="00BB5ED2">
        <w:rPr>
          <w:rFonts w:ascii="Arial" w:hAnsi="Arial" w:cs="Arial"/>
          <w:sz w:val="20"/>
          <w:szCs w:val="20"/>
        </w:rPr>
        <w:t>1</w:t>
      </w:r>
      <w:r w:rsidRPr="00BB5ED2">
        <w:rPr>
          <w:rFonts w:ascii="Arial" w:hAnsi="Arial" w:cs="Arial"/>
          <w:sz w:val="20"/>
          <w:szCs w:val="20"/>
        </w:rPr>
        <w:t>#97</w:t>
      </w:r>
      <w:r w:rsidR="00CE6CB5" w:rsidRPr="00BB5ED2">
        <w:rPr>
          <w:rFonts w:ascii="Arial" w:hAnsi="Arial" w:cs="Arial"/>
          <w:sz w:val="20"/>
          <w:szCs w:val="20"/>
        </w:rPr>
        <w:t xml:space="preserve"> is ‘AMC with CQI reflecting only long-term fading’.  </w:t>
      </w:r>
      <w:r w:rsidR="000F176A" w:rsidRPr="00BB5ED2">
        <w:rPr>
          <w:rFonts w:ascii="Arial" w:hAnsi="Arial" w:cs="Arial"/>
          <w:sz w:val="20"/>
          <w:szCs w:val="20"/>
        </w:rPr>
        <w:t xml:space="preserve">Hence, we evaluated a scenario where the UE </w:t>
      </w:r>
      <w:r w:rsidR="002535F9" w:rsidRPr="009C09BC">
        <w:rPr>
          <w:rFonts w:ascii="Arial" w:hAnsi="Arial" w:cs="Arial"/>
          <w:sz w:val="20"/>
          <w:szCs w:val="20"/>
        </w:rPr>
        <w:t xml:space="preserve">averages channel measurements over consecutive number of CSI-RS periodicities and reports a </w:t>
      </w:r>
      <w:r w:rsidR="00FA65B5" w:rsidRPr="009C09BC">
        <w:rPr>
          <w:rFonts w:ascii="Arial" w:hAnsi="Arial" w:cs="Arial"/>
          <w:sz w:val="20"/>
          <w:szCs w:val="20"/>
        </w:rPr>
        <w:t>CSI based on the averaged channel.  Results cor</w:t>
      </w:r>
      <w:r w:rsidR="00FA65B5" w:rsidRPr="00703270">
        <w:rPr>
          <w:rFonts w:ascii="Arial" w:hAnsi="Arial" w:cs="Arial"/>
          <w:sz w:val="20"/>
          <w:szCs w:val="20"/>
        </w:rPr>
        <w:t xml:space="preserve">responding to the cases of 3 km/hr and 60 km/hr are shown in Figures 8 and 9, respectively.  </w:t>
      </w:r>
      <w:r w:rsidR="00A8688F" w:rsidRPr="00703270">
        <w:rPr>
          <w:rFonts w:ascii="Arial" w:hAnsi="Arial" w:cs="Arial"/>
          <w:sz w:val="20"/>
          <w:szCs w:val="20"/>
        </w:rPr>
        <w:t xml:space="preserve">In these figures, the feedback delay is fixed at 201 ms, while the number of CSI-RS periodicities over which averaging is performed is varied.  </w:t>
      </w:r>
      <w:r w:rsidR="001B1A96" w:rsidRPr="00703270">
        <w:rPr>
          <w:rFonts w:ascii="Arial" w:hAnsi="Arial" w:cs="Arial"/>
          <w:sz w:val="20"/>
          <w:szCs w:val="20"/>
        </w:rPr>
        <w:t xml:space="preserve">The case with no channel averaging is used as the baseline.  </w:t>
      </w:r>
      <w:r w:rsidR="005E6B4D" w:rsidRPr="00703270">
        <w:rPr>
          <w:rFonts w:ascii="Arial" w:hAnsi="Arial" w:cs="Arial"/>
          <w:sz w:val="20"/>
          <w:szCs w:val="20"/>
        </w:rPr>
        <w:t xml:space="preserve">From the results in Figure 8, it is noted that at 3 km/hr UE speed, channel averaging to capture long-term fading does not improve throughput.  </w:t>
      </w:r>
      <w:r w:rsidR="00E64E4C" w:rsidRPr="00703270">
        <w:rPr>
          <w:rFonts w:ascii="Arial" w:hAnsi="Arial" w:cs="Arial"/>
          <w:sz w:val="20"/>
          <w:szCs w:val="20"/>
        </w:rPr>
        <w:t xml:space="preserve">At 60 km/hr UE speed (see Figure </w:t>
      </w:r>
      <w:r w:rsidR="006A4CDF" w:rsidRPr="00703270">
        <w:rPr>
          <w:rFonts w:ascii="Arial" w:hAnsi="Arial" w:cs="Arial"/>
          <w:sz w:val="20"/>
          <w:szCs w:val="20"/>
        </w:rPr>
        <w:t>9), averaging the channel likely results in pessimistic CSI and thus throughput degrades</w:t>
      </w:r>
      <w:r w:rsidR="00CB5B0F" w:rsidRPr="00703270">
        <w:rPr>
          <w:rFonts w:ascii="Arial" w:hAnsi="Arial" w:cs="Arial"/>
          <w:sz w:val="20"/>
          <w:szCs w:val="20"/>
        </w:rPr>
        <w:t xml:space="preserve">.  </w:t>
      </w:r>
      <w:r w:rsidR="00CB5B0F" w:rsidRPr="0067296C">
        <w:rPr>
          <w:rFonts w:ascii="Arial" w:hAnsi="Arial" w:cs="Arial"/>
          <w:sz w:val="20"/>
          <w:szCs w:val="20"/>
        </w:rPr>
        <w:t>Based on these results, we make the following observation:</w:t>
      </w:r>
    </w:p>
    <w:p w14:paraId="0B5CD061" w14:textId="18E26A97" w:rsidR="00655598" w:rsidRPr="00C75F95" w:rsidRDefault="00655598" w:rsidP="00C75F95">
      <w:pPr>
        <w:jc w:val="both"/>
        <w:rPr>
          <w:rFonts w:ascii="Arial" w:hAnsi="Arial"/>
          <w:b/>
          <w:i/>
          <w:sz w:val="20"/>
          <w:szCs w:val="20"/>
        </w:rPr>
      </w:pPr>
      <w:r w:rsidRPr="00C75F95">
        <w:rPr>
          <w:rFonts w:ascii="Arial" w:hAnsi="Arial"/>
          <w:b/>
          <w:i/>
          <w:sz w:val="20"/>
          <w:szCs w:val="20"/>
        </w:rPr>
        <w:t>Observation</w:t>
      </w:r>
      <w:r w:rsidR="00C75F95">
        <w:rPr>
          <w:rFonts w:ascii="Arial" w:hAnsi="Arial"/>
          <w:b/>
          <w:i/>
          <w:sz w:val="20"/>
          <w:szCs w:val="20"/>
        </w:rPr>
        <w:t xml:space="preserve"> 2</w:t>
      </w:r>
      <w:r w:rsidRPr="00C75F95">
        <w:rPr>
          <w:rFonts w:ascii="Arial" w:hAnsi="Arial"/>
          <w:b/>
          <w:i/>
          <w:sz w:val="20"/>
          <w:szCs w:val="20"/>
        </w:rPr>
        <w:t>:  At 3</w:t>
      </w:r>
      <w:r w:rsidR="00BB5ED2">
        <w:rPr>
          <w:rFonts w:ascii="Arial" w:hAnsi="Arial"/>
          <w:b/>
          <w:i/>
          <w:sz w:val="20"/>
          <w:szCs w:val="20"/>
        </w:rPr>
        <w:t xml:space="preserve"> </w:t>
      </w:r>
      <w:r w:rsidRPr="00C75F95">
        <w:rPr>
          <w:rFonts w:ascii="Arial" w:hAnsi="Arial"/>
          <w:b/>
          <w:i/>
          <w:sz w:val="20"/>
          <w:szCs w:val="20"/>
        </w:rPr>
        <w:t>km</w:t>
      </w:r>
      <w:r w:rsidR="00BB5ED2">
        <w:rPr>
          <w:rFonts w:ascii="Arial" w:hAnsi="Arial"/>
          <w:b/>
          <w:i/>
          <w:sz w:val="20"/>
          <w:szCs w:val="20"/>
        </w:rPr>
        <w:t>/</w:t>
      </w:r>
      <w:proofErr w:type="spellStart"/>
      <w:r w:rsidR="00BB5ED2">
        <w:rPr>
          <w:rFonts w:ascii="Arial" w:hAnsi="Arial"/>
          <w:b/>
          <w:i/>
          <w:sz w:val="20"/>
          <w:szCs w:val="20"/>
        </w:rPr>
        <w:t>hr</w:t>
      </w:r>
      <w:proofErr w:type="spellEnd"/>
      <w:r w:rsidRPr="00C75F95">
        <w:rPr>
          <w:rFonts w:ascii="Arial" w:hAnsi="Arial"/>
          <w:b/>
          <w:i/>
          <w:sz w:val="20"/>
          <w:szCs w:val="20"/>
        </w:rPr>
        <w:t xml:space="preserve"> UE speed, channel averaging to capture long-term fading does not improve throughput</w:t>
      </w:r>
      <w:r w:rsidR="006A4CDF" w:rsidRPr="00C75F95">
        <w:rPr>
          <w:rFonts w:ascii="Arial" w:hAnsi="Arial"/>
          <w:b/>
          <w:i/>
          <w:sz w:val="20"/>
          <w:szCs w:val="20"/>
        </w:rPr>
        <w:t xml:space="preserve"> compared to the case with no channel averaging</w:t>
      </w:r>
      <w:r w:rsidRPr="00C75F95">
        <w:rPr>
          <w:rFonts w:ascii="Arial" w:hAnsi="Arial"/>
          <w:b/>
          <w:i/>
          <w:sz w:val="20"/>
          <w:szCs w:val="20"/>
        </w:rPr>
        <w:t>.  At 60</w:t>
      </w:r>
      <w:r w:rsidR="00BB5ED2">
        <w:rPr>
          <w:rFonts w:ascii="Arial" w:hAnsi="Arial"/>
          <w:b/>
          <w:i/>
          <w:sz w:val="20"/>
          <w:szCs w:val="20"/>
        </w:rPr>
        <w:t xml:space="preserve"> </w:t>
      </w:r>
      <w:r w:rsidRPr="00C75F95">
        <w:rPr>
          <w:rFonts w:ascii="Arial" w:hAnsi="Arial"/>
          <w:b/>
          <w:i/>
          <w:sz w:val="20"/>
          <w:szCs w:val="20"/>
        </w:rPr>
        <w:t>km</w:t>
      </w:r>
      <w:r w:rsidR="00BB5ED2">
        <w:rPr>
          <w:rFonts w:ascii="Arial" w:hAnsi="Arial"/>
          <w:b/>
          <w:i/>
          <w:sz w:val="20"/>
          <w:szCs w:val="20"/>
        </w:rPr>
        <w:t>/</w:t>
      </w:r>
      <w:proofErr w:type="spellStart"/>
      <w:r w:rsidR="00BB5ED2">
        <w:rPr>
          <w:rFonts w:ascii="Arial" w:hAnsi="Arial"/>
          <w:b/>
          <w:i/>
          <w:sz w:val="20"/>
          <w:szCs w:val="20"/>
        </w:rPr>
        <w:t>hr</w:t>
      </w:r>
      <w:proofErr w:type="spellEnd"/>
      <w:r w:rsidRPr="00C75F95">
        <w:rPr>
          <w:rFonts w:ascii="Arial" w:hAnsi="Arial"/>
          <w:b/>
          <w:i/>
          <w:sz w:val="20"/>
          <w:szCs w:val="20"/>
        </w:rPr>
        <w:t xml:space="preserve"> UE speed, averaging channel likely results in pessimistic CSI and thus throughput degrades</w:t>
      </w:r>
      <w:r w:rsidR="00CB5B0F" w:rsidRPr="00C75F95">
        <w:rPr>
          <w:rFonts w:ascii="Arial" w:hAnsi="Arial"/>
          <w:b/>
          <w:i/>
          <w:sz w:val="20"/>
          <w:szCs w:val="20"/>
        </w:rPr>
        <w:t xml:space="preserve"> compared to the case with no averaging</w:t>
      </w:r>
      <w:r w:rsidRPr="00C75F95">
        <w:rPr>
          <w:rFonts w:ascii="Arial" w:hAnsi="Arial"/>
          <w:b/>
          <w:i/>
          <w:sz w:val="20"/>
          <w:szCs w:val="20"/>
        </w:rPr>
        <w:t>.</w:t>
      </w:r>
    </w:p>
    <w:p w14:paraId="403304FC" w14:textId="6EDF20AF" w:rsidR="002F511C" w:rsidRDefault="00B35C00" w:rsidP="002F511C">
      <w:pPr>
        <w:jc w:val="center"/>
        <w:rPr>
          <w:rFonts w:ascii="Arial" w:hAnsi="Arial"/>
          <w:sz w:val="20"/>
          <w:szCs w:val="20"/>
        </w:rPr>
      </w:pPr>
      <w:r>
        <w:rPr>
          <w:noProof/>
        </w:rPr>
        <w:lastRenderedPageBreak/>
        <w:drawing>
          <wp:inline distT="0" distB="0" distL="0" distR="0" wp14:anchorId="00F5B91D" wp14:editId="6394CF08">
            <wp:extent cx="4114800" cy="2351402"/>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l="2546" t="1438" r="3460" b="1059"/>
                    <a:stretch/>
                  </pic:blipFill>
                  <pic:spPr bwMode="auto">
                    <a:xfrm>
                      <a:off x="0" y="0"/>
                      <a:ext cx="4114800" cy="2351402"/>
                    </a:xfrm>
                    <a:prstGeom prst="rect">
                      <a:avLst/>
                    </a:prstGeom>
                    <a:ln>
                      <a:noFill/>
                    </a:ln>
                    <a:extLst>
                      <a:ext uri="{53640926-AAD7-44D8-BBD7-CCE9431645EC}">
                        <a14:shadowObscured xmlns:a14="http://schemas.microsoft.com/office/drawing/2010/main"/>
                      </a:ext>
                    </a:extLst>
                  </pic:spPr>
                </pic:pic>
              </a:graphicData>
            </a:graphic>
          </wp:inline>
        </w:drawing>
      </w:r>
    </w:p>
    <w:p w14:paraId="0B760FAB" w14:textId="535E77E0" w:rsidR="002F511C" w:rsidRDefault="002F511C" w:rsidP="002F511C">
      <w:pPr>
        <w:jc w:val="center"/>
        <w:rPr>
          <w:rFonts w:ascii="Arial" w:hAnsi="Arial"/>
          <w:sz w:val="20"/>
          <w:szCs w:val="20"/>
        </w:rPr>
      </w:pPr>
      <w:r>
        <w:rPr>
          <w:rFonts w:ascii="Arial" w:hAnsi="Arial"/>
          <w:sz w:val="20"/>
          <w:szCs w:val="20"/>
        </w:rPr>
        <w:t xml:space="preserve">Figure </w:t>
      </w:r>
      <w:r w:rsidR="009C66C4">
        <w:rPr>
          <w:rFonts w:ascii="Arial" w:hAnsi="Arial"/>
          <w:sz w:val="20"/>
          <w:szCs w:val="20"/>
        </w:rPr>
        <w:t>8</w:t>
      </w:r>
      <w:r>
        <w:rPr>
          <w:rFonts w:ascii="Arial" w:hAnsi="Arial"/>
          <w:sz w:val="20"/>
          <w:szCs w:val="20"/>
        </w:rPr>
        <w:t xml:space="preserve">.  Evaluation results </w:t>
      </w:r>
      <w:r w:rsidRPr="002F511C">
        <w:rPr>
          <w:rFonts w:ascii="Arial" w:hAnsi="Arial"/>
          <w:sz w:val="20"/>
          <w:szCs w:val="20"/>
        </w:rPr>
        <w:t>reflecting</w:t>
      </w:r>
      <w:r>
        <w:rPr>
          <w:rFonts w:ascii="Arial" w:hAnsi="Arial"/>
          <w:sz w:val="20"/>
          <w:szCs w:val="20"/>
        </w:rPr>
        <w:t xml:space="preserve"> for channel averaging to capture</w:t>
      </w:r>
      <w:r w:rsidRPr="002F511C">
        <w:rPr>
          <w:rFonts w:ascii="Arial" w:hAnsi="Arial"/>
          <w:sz w:val="20"/>
          <w:szCs w:val="20"/>
        </w:rPr>
        <w:t xml:space="preserve"> long-term fading</w:t>
      </w:r>
      <w:r>
        <w:rPr>
          <w:rFonts w:ascii="Arial" w:hAnsi="Arial"/>
          <w:sz w:val="20"/>
          <w:szCs w:val="20"/>
        </w:rPr>
        <w:t xml:space="preserve"> </w:t>
      </w:r>
      <w:r w:rsidR="00BB0144">
        <w:rPr>
          <w:rFonts w:ascii="Arial" w:hAnsi="Arial"/>
          <w:sz w:val="20"/>
          <w:szCs w:val="20"/>
        </w:rPr>
        <w:t>at 3 km/hr</w:t>
      </w:r>
    </w:p>
    <w:p w14:paraId="351C36A3" w14:textId="1B5593AF" w:rsidR="00680ADD" w:rsidRDefault="00680ADD" w:rsidP="0083544E">
      <w:pPr>
        <w:rPr>
          <w:rFonts w:ascii="Arial" w:hAnsi="Arial"/>
          <w:sz w:val="20"/>
          <w:szCs w:val="20"/>
        </w:rPr>
      </w:pPr>
    </w:p>
    <w:p w14:paraId="3D0F5E2A" w14:textId="48FE24E2" w:rsidR="00DC5CA3" w:rsidRDefault="00476D66" w:rsidP="00DC5CA3">
      <w:pPr>
        <w:jc w:val="center"/>
        <w:rPr>
          <w:rFonts w:ascii="Arial" w:hAnsi="Arial"/>
          <w:sz w:val="20"/>
          <w:szCs w:val="20"/>
        </w:rPr>
      </w:pPr>
      <w:r>
        <w:rPr>
          <w:noProof/>
        </w:rPr>
        <w:drawing>
          <wp:inline distT="0" distB="0" distL="0" distR="0" wp14:anchorId="58D9CFC3" wp14:editId="6772BD98">
            <wp:extent cx="4114800" cy="235259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114800" cy="2352595"/>
                    </a:xfrm>
                    <a:prstGeom prst="rect">
                      <a:avLst/>
                    </a:prstGeom>
                  </pic:spPr>
                </pic:pic>
              </a:graphicData>
            </a:graphic>
          </wp:inline>
        </w:drawing>
      </w:r>
    </w:p>
    <w:p w14:paraId="4ECA7A93" w14:textId="5B98151E" w:rsidR="00DC5CA3" w:rsidRDefault="00DC5CA3" w:rsidP="00DC5CA3">
      <w:pPr>
        <w:jc w:val="center"/>
        <w:rPr>
          <w:rFonts w:ascii="Arial" w:hAnsi="Arial"/>
          <w:sz w:val="20"/>
          <w:szCs w:val="20"/>
        </w:rPr>
      </w:pPr>
      <w:r>
        <w:rPr>
          <w:rFonts w:ascii="Arial" w:hAnsi="Arial"/>
          <w:sz w:val="20"/>
          <w:szCs w:val="20"/>
        </w:rPr>
        <w:t xml:space="preserve">Figure </w:t>
      </w:r>
      <w:r w:rsidR="009C66C4">
        <w:rPr>
          <w:rFonts w:ascii="Arial" w:hAnsi="Arial"/>
          <w:sz w:val="20"/>
          <w:szCs w:val="20"/>
        </w:rPr>
        <w:t>9</w:t>
      </w:r>
      <w:r>
        <w:rPr>
          <w:rFonts w:ascii="Arial" w:hAnsi="Arial"/>
          <w:sz w:val="20"/>
          <w:szCs w:val="20"/>
        </w:rPr>
        <w:t xml:space="preserve">.  Evaluation results </w:t>
      </w:r>
      <w:r w:rsidRPr="002F511C">
        <w:rPr>
          <w:rFonts w:ascii="Arial" w:hAnsi="Arial"/>
          <w:sz w:val="20"/>
          <w:szCs w:val="20"/>
        </w:rPr>
        <w:t>reflecting</w:t>
      </w:r>
      <w:r>
        <w:rPr>
          <w:rFonts w:ascii="Arial" w:hAnsi="Arial"/>
          <w:sz w:val="20"/>
          <w:szCs w:val="20"/>
        </w:rPr>
        <w:t xml:space="preserve"> for channel averaging to capture</w:t>
      </w:r>
      <w:r w:rsidRPr="002F511C">
        <w:rPr>
          <w:rFonts w:ascii="Arial" w:hAnsi="Arial"/>
          <w:sz w:val="20"/>
          <w:szCs w:val="20"/>
        </w:rPr>
        <w:t xml:space="preserve"> long-term fading</w:t>
      </w:r>
      <w:r>
        <w:rPr>
          <w:rFonts w:ascii="Arial" w:hAnsi="Arial"/>
          <w:sz w:val="20"/>
          <w:szCs w:val="20"/>
        </w:rPr>
        <w:t xml:space="preserve"> at 60 km/hr</w:t>
      </w:r>
    </w:p>
    <w:p w14:paraId="1CF9198A" w14:textId="77777777" w:rsidR="00DC5CA3" w:rsidRDefault="00DC5CA3" w:rsidP="0083544E">
      <w:pPr>
        <w:rPr>
          <w:rFonts w:ascii="Arial" w:hAnsi="Arial"/>
          <w:sz w:val="20"/>
          <w:szCs w:val="20"/>
        </w:rPr>
      </w:pPr>
    </w:p>
    <w:p w14:paraId="028457E0" w14:textId="5CD12C83" w:rsidR="00994B1D" w:rsidRDefault="00680ADD" w:rsidP="00994B1D">
      <w:pPr>
        <w:pStyle w:val="Heading1"/>
      </w:pPr>
      <w:r>
        <w:t>4</w:t>
      </w:r>
      <w:r w:rsidR="00994B1D">
        <w:tab/>
      </w:r>
      <w:r w:rsidR="00994B1D" w:rsidRPr="00CE0424">
        <w:t>Discussion</w:t>
      </w:r>
      <w:r w:rsidR="00994B1D">
        <w:t xml:space="preserve"> on UL power control for NTN</w:t>
      </w:r>
    </w:p>
    <w:p w14:paraId="3F5C4616" w14:textId="3F187D8E" w:rsidR="006560AB" w:rsidRDefault="00BD62E2" w:rsidP="00994B1D">
      <w:pPr>
        <w:pStyle w:val="BodyText"/>
        <w:rPr>
          <w:sz w:val="20"/>
          <w:szCs w:val="20"/>
        </w:rPr>
      </w:pPr>
      <w:r>
        <w:rPr>
          <w:sz w:val="20"/>
          <w:szCs w:val="20"/>
        </w:rPr>
        <w:t xml:space="preserve">Even though UL power control was not </w:t>
      </w:r>
      <w:r w:rsidR="00B72EB2">
        <w:rPr>
          <w:sz w:val="20"/>
          <w:szCs w:val="20"/>
        </w:rPr>
        <w:t xml:space="preserve">discussed in RAN1#97, there were some offline discussions as summarized in [2].  </w:t>
      </w:r>
      <w:r w:rsidR="00FE0708">
        <w:rPr>
          <w:sz w:val="20"/>
          <w:szCs w:val="20"/>
        </w:rPr>
        <w:t xml:space="preserve">According to the summary, </w:t>
      </w:r>
      <w:r w:rsidR="004F4124">
        <w:rPr>
          <w:sz w:val="20"/>
          <w:szCs w:val="20"/>
        </w:rPr>
        <w:t>some</w:t>
      </w:r>
      <w:r w:rsidR="00FE0708">
        <w:rPr>
          <w:sz w:val="20"/>
          <w:szCs w:val="20"/>
        </w:rPr>
        <w:t xml:space="preserve"> companies think open loop power control </w:t>
      </w:r>
      <w:r w:rsidR="004F4124">
        <w:rPr>
          <w:sz w:val="20"/>
          <w:szCs w:val="20"/>
        </w:rPr>
        <w:t xml:space="preserve">should be considered as the baseline for NTN.  </w:t>
      </w:r>
      <w:r w:rsidR="00F55905">
        <w:rPr>
          <w:sz w:val="20"/>
          <w:szCs w:val="20"/>
        </w:rPr>
        <w:t>However, in NTN scenarios, there are relevant scenarios whe</w:t>
      </w:r>
      <w:r w:rsidR="00683732">
        <w:rPr>
          <w:sz w:val="20"/>
          <w:szCs w:val="20"/>
        </w:rPr>
        <w:t xml:space="preserve">re pathloss changes drastically in both GEO and LEO scenarios.  </w:t>
      </w:r>
      <w:r w:rsidR="009C09BC">
        <w:rPr>
          <w:sz w:val="20"/>
          <w:szCs w:val="20"/>
        </w:rPr>
        <w:t xml:space="preserve">One </w:t>
      </w:r>
      <w:r w:rsidR="00683732">
        <w:rPr>
          <w:sz w:val="20"/>
          <w:szCs w:val="20"/>
        </w:rPr>
        <w:t xml:space="preserve">example of such scenarios </w:t>
      </w:r>
      <w:r w:rsidR="009C09BC">
        <w:rPr>
          <w:sz w:val="20"/>
          <w:szCs w:val="20"/>
        </w:rPr>
        <w:t xml:space="preserve">is blockage. </w:t>
      </w:r>
      <w:r w:rsidR="00072DF6">
        <w:rPr>
          <w:sz w:val="20"/>
          <w:szCs w:val="20"/>
        </w:rPr>
        <w:t xml:space="preserve">  </w:t>
      </w:r>
      <w:r w:rsidR="00BB5ED2" w:rsidRPr="00BB5ED2">
        <w:rPr>
          <w:sz w:val="20"/>
          <w:szCs w:val="20"/>
        </w:rPr>
        <w:t xml:space="preserve">A </w:t>
      </w:r>
      <w:r w:rsidR="009C09BC">
        <w:rPr>
          <w:sz w:val="20"/>
          <w:szCs w:val="20"/>
        </w:rPr>
        <w:t>satellite ground</w:t>
      </w:r>
      <w:r w:rsidR="00BB5ED2" w:rsidRPr="00BB5ED2">
        <w:rPr>
          <w:sz w:val="20"/>
          <w:szCs w:val="20"/>
        </w:rPr>
        <w:t xml:space="preserve"> receiver </w:t>
      </w:r>
      <w:r w:rsidR="009C09BC">
        <w:rPr>
          <w:sz w:val="20"/>
          <w:szCs w:val="20"/>
        </w:rPr>
        <w:t xml:space="preserve">may first have </w:t>
      </w:r>
      <w:r w:rsidR="00BB5ED2" w:rsidRPr="00BB5ED2">
        <w:rPr>
          <w:sz w:val="20"/>
          <w:szCs w:val="20"/>
        </w:rPr>
        <w:t xml:space="preserve">a clear line of sight to the satellite it is </w:t>
      </w:r>
      <w:r w:rsidR="009C09BC">
        <w:rPr>
          <w:sz w:val="20"/>
          <w:szCs w:val="20"/>
        </w:rPr>
        <w:t>communicating with</w:t>
      </w:r>
      <w:r w:rsidR="00BB5ED2" w:rsidRPr="00BB5ED2">
        <w:rPr>
          <w:sz w:val="20"/>
          <w:szCs w:val="20"/>
        </w:rPr>
        <w:t xml:space="preserve">. If the line of sight to </w:t>
      </w:r>
      <w:r w:rsidR="009C09BC">
        <w:rPr>
          <w:sz w:val="20"/>
          <w:szCs w:val="20"/>
        </w:rPr>
        <w:t>the</w:t>
      </w:r>
      <w:r w:rsidR="00BB5ED2" w:rsidRPr="00BB5ED2">
        <w:rPr>
          <w:sz w:val="20"/>
          <w:szCs w:val="20"/>
        </w:rPr>
        <w:t xml:space="preserve"> satellite is blocked by objects such as buildings, trees, bridges, etc., </w:t>
      </w:r>
      <w:r w:rsidR="009C09BC">
        <w:rPr>
          <w:sz w:val="20"/>
          <w:szCs w:val="20"/>
        </w:rPr>
        <w:t>there would be sudden drop in path gains</w:t>
      </w:r>
      <w:r w:rsidR="00BB5ED2" w:rsidRPr="007A696F">
        <w:rPr>
          <w:sz w:val="20"/>
          <w:szCs w:val="20"/>
        </w:rPr>
        <w:t xml:space="preserve">. </w:t>
      </w:r>
      <w:r w:rsidR="00F23EB8" w:rsidRPr="007A696F">
        <w:rPr>
          <w:sz w:val="20"/>
          <w:szCs w:val="20"/>
        </w:rPr>
        <w:t xml:space="preserve">TR 38.811 models the blocking case by means of a LOS probability and the clutter loss which range up to 44 dB. This implies that the radio link needs to be able to handle quick and drastic changes of the channel strength. </w:t>
      </w:r>
      <w:r w:rsidR="00B45355">
        <w:rPr>
          <w:sz w:val="20"/>
          <w:szCs w:val="20"/>
        </w:rPr>
        <w:t>In these scenarios it is important t</w:t>
      </w:r>
      <w:r w:rsidR="003C02B7">
        <w:rPr>
          <w:sz w:val="20"/>
          <w:szCs w:val="20"/>
        </w:rPr>
        <w:t xml:space="preserve">o make sure that the UE can quickly adapt the UL power accordingly.  Hence, </w:t>
      </w:r>
      <w:r w:rsidR="00556028">
        <w:rPr>
          <w:sz w:val="20"/>
          <w:szCs w:val="20"/>
        </w:rPr>
        <w:t xml:space="preserve">in addition to open loop power control, </w:t>
      </w:r>
      <w:r w:rsidR="0080780F">
        <w:rPr>
          <w:sz w:val="20"/>
          <w:szCs w:val="20"/>
        </w:rPr>
        <w:t xml:space="preserve">closed loop power control may also be relevant in both NTN scenarios.  </w:t>
      </w:r>
      <w:r w:rsidR="00BD0B8D">
        <w:rPr>
          <w:sz w:val="20"/>
          <w:szCs w:val="20"/>
        </w:rPr>
        <w:t>It should then be studied whether further enhancements are needed to open-loop and/or closed-loop power control in NTN scenarios.</w:t>
      </w:r>
    </w:p>
    <w:p w14:paraId="49FB511B" w14:textId="3C1E53A6" w:rsidR="00105095" w:rsidRPr="005E2B17" w:rsidRDefault="00105095" w:rsidP="00105095">
      <w:pPr>
        <w:pStyle w:val="Proposal"/>
        <w:numPr>
          <w:ilvl w:val="0"/>
          <w:numId w:val="0"/>
        </w:numPr>
        <w:rPr>
          <w:i/>
          <w:sz w:val="20"/>
          <w:szCs w:val="20"/>
        </w:rPr>
      </w:pPr>
      <w:r w:rsidRPr="005E2B17">
        <w:rPr>
          <w:i/>
          <w:sz w:val="20"/>
          <w:szCs w:val="20"/>
        </w:rPr>
        <w:t>Observation</w:t>
      </w:r>
      <w:r w:rsidR="005E2B17" w:rsidRPr="005E2B17">
        <w:rPr>
          <w:i/>
          <w:sz w:val="20"/>
          <w:szCs w:val="20"/>
        </w:rPr>
        <w:t xml:space="preserve"> 3</w:t>
      </w:r>
      <w:r w:rsidRPr="005E2B17">
        <w:rPr>
          <w:i/>
          <w:sz w:val="20"/>
          <w:szCs w:val="20"/>
        </w:rPr>
        <w:t xml:space="preserve">:  </w:t>
      </w:r>
      <w:r w:rsidR="00951D0E">
        <w:rPr>
          <w:i/>
          <w:sz w:val="20"/>
          <w:szCs w:val="20"/>
        </w:rPr>
        <w:t>In addition to open loop power control, c</w:t>
      </w:r>
      <w:r w:rsidR="00281D59" w:rsidRPr="005E2B17">
        <w:rPr>
          <w:i/>
          <w:sz w:val="20"/>
          <w:szCs w:val="20"/>
        </w:rPr>
        <w:t>losed loop power control can be relevant in cases w</w:t>
      </w:r>
      <w:r w:rsidR="006560AB" w:rsidRPr="005E2B17">
        <w:rPr>
          <w:i/>
          <w:sz w:val="20"/>
          <w:szCs w:val="20"/>
        </w:rPr>
        <w:t>here the pathloss drastically changes in which case it is important to ensure that the UE can quickly adapt its UL transmit power.</w:t>
      </w:r>
    </w:p>
    <w:p w14:paraId="3BFDBF21" w14:textId="0001A61B" w:rsidR="00994B1D" w:rsidRPr="005E2B17" w:rsidRDefault="00994B1D" w:rsidP="006560AB">
      <w:pPr>
        <w:pStyle w:val="Proposal"/>
        <w:numPr>
          <w:ilvl w:val="0"/>
          <w:numId w:val="0"/>
        </w:numPr>
        <w:rPr>
          <w:i/>
          <w:sz w:val="20"/>
          <w:szCs w:val="20"/>
        </w:rPr>
      </w:pPr>
      <w:bookmarkStart w:id="3" w:name="_Toc528934062"/>
      <w:r w:rsidRPr="005E2B17">
        <w:rPr>
          <w:i/>
          <w:sz w:val="20"/>
          <w:szCs w:val="20"/>
        </w:rPr>
        <w:lastRenderedPageBreak/>
        <w:t xml:space="preserve">Proposal </w:t>
      </w:r>
      <w:r w:rsidR="005E2B17" w:rsidRPr="005E2B17">
        <w:rPr>
          <w:i/>
          <w:sz w:val="20"/>
          <w:szCs w:val="20"/>
        </w:rPr>
        <w:t>5</w:t>
      </w:r>
      <w:r w:rsidRPr="005E2B17">
        <w:rPr>
          <w:i/>
          <w:sz w:val="20"/>
          <w:szCs w:val="20"/>
        </w:rPr>
        <w:t xml:space="preserve">:  </w:t>
      </w:r>
      <w:bookmarkEnd w:id="3"/>
      <w:r w:rsidR="006560AB" w:rsidRPr="005E2B17">
        <w:rPr>
          <w:i/>
          <w:sz w:val="20"/>
          <w:szCs w:val="20"/>
        </w:rPr>
        <w:t xml:space="preserve">Study whether enhancements to Rel-15 open-loop and/or closed-loop power control </w:t>
      </w:r>
      <w:r w:rsidR="005E2B17" w:rsidRPr="005E2B17">
        <w:rPr>
          <w:i/>
          <w:sz w:val="20"/>
          <w:szCs w:val="20"/>
        </w:rPr>
        <w:t>features are needed in NTN scenarios.</w:t>
      </w:r>
    </w:p>
    <w:p w14:paraId="5300F849" w14:textId="2A72A3AF" w:rsidR="00C01F33" w:rsidRPr="003F25C2" w:rsidRDefault="00E856CA" w:rsidP="003F25C2">
      <w:pPr>
        <w:pStyle w:val="Heading1"/>
      </w:pPr>
      <w:r>
        <w:t>5</w:t>
      </w:r>
      <w:r w:rsidR="003F25C2">
        <w:tab/>
      </w:r>
      <w:r w:rsidR="00C01F33" w:rsidRPr="003F25C2">
        <w:t>Conclusion</w:t>
      </w:r>
    </w:p>
    <w:p w14:paraId="73542AD8" w14:textId="56F2517A" w:rsidR="0096386C" w:rsidRDefault="00F03DAF" w:rsidP="0053334B">
      <w:pPr>
        <w:pStyle w:val="BodyText"/>
        <w:rPr>
          <w:sz w:val="20"/>
          <w:szCs w:val="20"/>
        </w:rPr>
      </w:pPr>
      <w:r w:rsidRPr="00893D97">
        <w:rPr>
          <w:sz w:val="20"/>
          <w:szCs w:val="20"/>
        </w:rPr>
        <w:t xml:space="preserve">In </w:t>
      </w:r>
      <w:r w:rsidR="00F53681" w:rsidRPr="00893D97">
        <w:rPr>
          <w:sz w:val="20"/>
          <w:szCs w:val="20"/>
        </w:rPr>
        <w:t>this contribution</w:t>
      </w:r>
      <w:r w:rsidR="00C836D8" w:rsidRPr="00893D97">
        <w:rPr>
          <w:sz w:val="20"/>
          <w:szCs w:val="20"/>
        </w:rPr>
        <w:t xml:space="preserve">, </w:t>
      </w:r>
      <w:r w:rsidR="00F53681" w:rsidRPr="00893D97">
        <w:rPr>
          <w:sz w:val="20"/>
          <w:szCs w:val="20"/>
        </w:rPr>
        <w:t xml:space="preserve">we provide our views on </w:t>
      </w:r>
      <w:r w:rsidR="00994B1D" w:rsidRPr="00893D97">
        <w:rPr>
          <w:sz w:val="20"/>
          <w:szCs w:val="20"/>
        </w:rPr>
        <w:t>physical layer control procedures</w:t>
      </w:r>
      <w:r w:rsidR="00F53681" w:rsidRPr="00893D97">
        <w:rPr>
          <w:sz w:val="20"/>
          <w:szCs w:val="20"/>
        </w:rPr>
        <w:t xml:space="preserve"> for NTN UEs in connected mode</w:t>
      </w:r>
      <w:r w:rsidR="0053334B" w:rsidRPr="00893D97">
        <w:rPr>
          <w:sz w:val="20"/>
          <w:szCs w:val="20"/>
        </w:rPr>
        <w:t>.</w:t>
      </w:r>
      <w:r w:rsidR="0096386C" w:rsidRPr="00893D97">
        <w:rPr>
          <w:sz w:val="20"/>
          <w:szCs w:val="20"/>
        </w:rPr>
        <w:t xml:space="preserve">  Based on the discussion in Section </w:t>
      </w:r>
      <w:r w:rsidR="00D23670">
        <w:rPr>
          <w:sz w:val="20"/>
          <w:szCs w:val="20"/>
        </w:rPr>
        <w:t>2-</w:t>
      </w:r>
      <w:r w:rsidR="00AE6BDB">
        <w:rPr>
          <w:sz w:val="20"/>
          <w:szCs w:val="20"/>
        </w:rPr>
        <w:t>4</w:t>
      </w:r>
      <w:r w:rsidR="0096386C" w:rsidRPr="00893D97">
        <w:rPr>
          <w:sz w:val="20"/>
          <w:szCs w:val="20"/>
        </w:rPr>
        <w:t xml:space="preserve">, we make the following </w:t>
      </w:r>
      <w:r w:rsidR="00E856CA">
        <w:rPr>
          <w:sz w:val="20"/>
          <w:szCs w:val="20"/>
        </w:rPr>
        <w:t xml:space="preserve">observations and </w:t>
      </w:r>
      <w:r w:rsidR="0096386C" w:rsidRPr="00893D97">
        <w:rPr>
          <w:sz w:val="20"/>
          <w:szCs w:val="20"/>
        </w:rPr>
        <w:t>proposal</w:t>
      </w:r>
      <w:r w:rsidR="00E856CA">
        <w:rPr>
          <w:sz w:val="20"/>
          <w:szCs w:val="20"/>
        </w:rPr>
        <w:t>s</w:t>
      </w:r>
      <w:r w:rsidR="0096386C" w:rsidRPr="00893D97">
        <w:rPr>
          <w:sz w:val="20"/>
          <w:szCs w:val="20"/>
        </w:rPr>
        <w:t>:</w:t>
      </w:r>
    </w:p>
    <w:p w14:paraId="292C984D" w14:textId="2EDB99CA" w:rsidR="00E856CA" w:rsidRDefault="00E856CA" w:rsidP="0053334B">
      <w:pPr>
        <w:pStyle w:val="BodyText"/>
        <w:rPr>
          <w:sz w:val="20"/>
          <w:szCs w:val="20"/>
        </w:rPr>
      </w:pPr>
    </w:p>
    <w:p w14:paraId="54046547" w14:textId="77777777" w:rsidR="00E856CA" w:rsidRPr="00040DFC" w:rsidRDefault="00E856CA" w:rsidP="00E856CA">
      <w:pPr>
        <w:rPr>
          <w:rFonts w:ascii="Arial" w:hAnsi="Arial"/>
          <w:b/>
          <w:i/>
          <w:sz w:val="20"/>
          <w:szCs w:val="20"/>
        </w:rPr>
      </w:pPr>
      <w:r w:rsidRPr="00040DFC">
        <w:rPr>
          <w:rFonts w:ascii="Arial" w:hAnsi="Arial"/>
          <w:b/>
          <w:i/>
          <w:sz w:val="20"/>
          <w:szCs w:val="20"/>
        </w:rPr>
        <w:t>Observation</w:t>
      </w:r>
      <w:r>
        <w:rPr>
          <w:rFonts w:ascii="Arial" w:hAnsi="Arial"/>
          <w:b/>
          <w:i/>
          <w:sz w:val="20"/>
          <w:szCs w:val="20"/>
        </w:rPr>
        <w:t xml:space="preserve"> 1</w:t>
      </w:r>
      <w:r w:rsidRPr="00040DFC">
        <w:rPr>
          <w:rFonts w:ascii="Arial" w:hAnsi="Arial"/>
          <w:b/>
          <w:i/>
          <w:sz w:val="20"/>
          <w:szCs w:val="20"/>
        </w:rPr>
        <w:t>:  There is throughput loss with increasing feedback delay.  However, the throughput loss saturates beyond a certain feedback delay depending on the UE speed.</w:t>
      </w:r>
    </w:p>
    <w:p w14:paraId="47AE38BF" w14:textId="77777777" w:rsidR="00E856CA" w:rsidRPr="00040DFC" w:rsidRDefault="00E856CA" w:rsidP="00E856CA">
      <w:pPr>
        <w:pStyle w:val="ListParagraph"/>
        <w:numPr>
          <w:ilvl w:val="0"/>
          <w:numId w:val="20"/>
        </w:numPr>
        <w:rPr>
          <w:rFonts w:ascii="Arial" w:hAnsi="Arial"/>
          <w:b/>
          <w:i/>
          <w:sz w:val="20"/>
          <w:szCs w:val="20"/>
        </w:rPr>
      </w:pPr>
      <w:r w:rsidRPr="00040DFC">
        <w:rPr>
          <w:rFonts w:ascii="Arial" w:hAnsi="Arial"/>
          <w:b/>
          <w:i/>
          <w:sz w:val="20"/>
          <w:szCs w:val="20"/>
        </w:rPr>
        <w:t>At UE speed of 3 km/</w:t>
      </w:r>
      <w:proofErr w:type="spellStart"/>
      <w:r w:rsidRPr="00040DFC">
        <w:rPr>
          <w:rFonts w:ascii="Arial" w:hAnsi="Arial"/>
          <w:b/>
          <w:i/>
          <w:sz w:val="20"/>
          <w:szCs w:val="20"/>
        </w:rPr>
        <w:t>hr</w:t>
      </w:r>
      <w:proofErr w:type="spellEnd"/>
      <w:r w:rsidRPr="00040DFC">
        <w:rPr>
          <w:rFonts w:ascii="Arial" w:hAnsi="Arial"/>
          <w:b/>
          <w:i/>
          <w:sz w:val="20"/>
          <w:szCs w:val="20"/>
        </w:rPr>
        <w:t xml:space="preserve">, the throughput </w:t>
      </w:r>
      <w:r w:rsidRPr="00C2297C">
        <w:rPr>
          <w:rFonts w:ascii="Arial" w:hAnsi="Arial"/>
          <w:b/>
          <w:i/>
          <w:sz w:val="20"/>
          <w:szCs w:val="20"/>
          <w:lang w:val="en-US"/>
        </w:rPr>
        <w:t xml:space="preserve">loss </w:t>
      </w:r>
      <w:r w:rsidRPr="00040DFC">
        <w:rPr>
          <w:rFonts w:ascii="Arial" w:hAnsi="Arial"/>
          <w:b/>
          <w:i/>
          <w:sz w:val="20"/>
          <w:szCs w:val="20"/>
        </w:rPr>
        <w:t>saturates beyond 40</w:t>
      </w:r>
      <w:r>
        <w:rPr>
          <w:rFonts w:ascii="Arial" w:hAnsi="Arial"/>
          <w:b/>
          <w:i/>
          <w:sz w:val="20"/>
          <w:szCs w:val="20"/>
          <w:lang w:val="en-US"/>
        </w:rPr>
        <w:t xml:space="preserve"> </w:t>
      </w:r>
      <w:proofErr w:type="spellStart"/>
      <w:r w:rsidRPr="00040DFC">
        <w:rPr>
          <w:rFonts w:ascii="Arial" w:hAnsi="Arial"/>
          <w:b/>
          <w:i/>
          <w:sz w:val="20"/>
          <w:szCs w:val="20"/>
        </w:rPr>
        <w:t>ms</w:t>
      </w:r>
      <w:proofErr w:type="spellEnd"/>
      <w:r w:rsidRPr="00040DFC">
        <w:rPr>
          <w:rFonts w:ascii="Arial" w:hAnsi="Arial"/>
          <w:b/>
          <w:i/>
          <w:sz w:val="20"/>
          <w:szCs w:val="20"/>
        </w:rPr>
        <w:t xml:space="preserve"> feedback delay.</w:t>
      </w:r>
    </w:p>
    <w:p w14:paraId="01C3DD12" w14:textId="77777777" w:rsidR="00E856CA" w:rsidRPr="00C2297C" w:rsidRDefault="00E856CA" w:rsidP="00E856CA">
      <w:pPr>
        <w:pStyle w:val="ListParagraph"/>
        <w:numPr>
          <w:ilvl w:val="0"/>
          <w:numId w:val="20"/>
        </w:numPr>
        <w:jc w:val="both"/>
        <w:rPr>
          <w:b/>
          <w:i/>
          <w:lang w:val="en-GB" w:eastAsia="ja-JP"/>
        </w:rPr>
      </w:pPr>
      <w:r w:rsidRPr="00040DFC">
        <w:rPr>
          <w:rFonts w:ascii="Arial" w:hAnsi="Arial"/>
          <w:b/>
          <w:i/>
          <w:sz w:val="20"/>
          <w:szCs w:val="20"/>
        </w:rPr>
        <w:t>At UE speeds of 30 km/</w:t>
      </w:r>
      <w:proofErr w:type="spellStart"/>
      <w:r w:rsidRPr="00040DFC">
        <w:rPr>
          <w:rFonts w:ascii="Arial" w:hAnsi="Arial"/>
          <w:b/>
          <w:i/>
          <w:sz w:val="20"/>
          <w:szCs w:val="20"/>
        </w:rPr>
        <w:t>hr</w:t>
      </w:r>
      <w:proofErr w:type="spellEnd"/>
      <w:r w:rsidRPr="00040DFC">
        <w:rPr>
          <w:rFonts w:ascii="Arial" w:hAnsi="Arial"/>
          <w:b/>
          <w:i/>
          <w:sz w:val="20"/>
          <w:szCs w:val="20"/>
        </w:rPr>
        <w:t xml:space="preserve"> and 60 km/</w:t>
      </w:r>
      <w:proofErr w:type="spellStart"/>
      <w:r w:rsidRPr="00040DFC">
        <w:rPr>
          <w:rFonts w:ascii="Arial" w:hAnsi="Arial"/>
          <w:b/>
          <w:i/>
          <w:sz w:val="20"/>
          <w:szCs w:val="20"/>
        </w:rPr>
        <w:t>hr</w:t>
      </w:r>
      <w:proofErr w:type="spellEnd"/>
      <w:r w:rsidRPr="00040DFC">
        <w:rPr>
          <w:rFonts w:ascii="Arial" w:hAnsi="Arial"/>
          <w:b/>
          <w:i/>
          <w:sz w:val="20"/>
          <w:szCs w:val="20"/>
        </w:rPr>
        <w:t xml:space="preserve">, the throughput </w:t>
      </w:r>
      <w:r w:rsidRPr="00C2297C">
        <w:rPr>
          <w:rFonts w:ascii="Arial" w:hAnsi="Arial"/>
          <w:b/>
          <w:i/>
          <w:sz w:val="20"/>
          <w:szCs w:val="20"/>
          <w:lang w:val="en-US"/>
        </w:rPr>
        <w:t xml:space="preserve">loss </w:t>
      </w:r>
      <w:r w:rsidRPr="00040DFC">
        <w:rPr>
          <w:rFonts w:ascii="Arial" w:hAnsi="Arial"/>
          <w:b/>
          <w:i/>
          <w:sz w:val="20"/>
          <w:szCs w:val="20"/>
        </w:rPr>
        <w:t>saturates beyond 5</w:t>
      </w:r>
      <w:r>
        <w:rPr>
          <w:rFonts w:ascii="Arial" w:hAnsi="Arial"/>
          <w:b/>
          <w:i/>
          <w:sz w:val="20"/>
          <w:szCs w:val="20"/>
          <w:lang w:val="en-US"/>
        </w:rPr>
        <w:t xml:space="preserve"> </w:t>
      </w:r>
      <w:proofErr w:type="spellStart"/>
      <w:r w:rsidRPr="00040DFC">
        <w:rPr>
          <w:rFonts w:ascii="Arial" w:hAnsi="Arial"/>
          <w:b/>
          <w:i/>
          <w:sz w:val="20"/>
          <w:szCs w:val="20"/>
        </w:rPr>
        <w:t>ms</w:t>
      </w:r>
      <w:proofErr w:type="spellEnd"/>
      <w:r w:rsidRPr="00040DFC">
        <w:rPr>
          <w:rFonts w:ascii="Arial" w:hAnsi="Arial"/>
          <w:b/>
          <w:i/>
          <w:sz w:val="20"/>
          <w:szCs w:val="20"/>
        </w:rPr>
        <w:t xml:space="preserve"> feedback delay.</w:t>
      </w:r>
    </w:p>
    <w:p w14:paraId="52049B4F" w14:textId="77777777" w:rsidR="00E856CA" w:rsidRPr="00040DFC" w:rsidRDefault="00E856CA" w:rsidP="00E856CA">
      <w:pPr>
        <w:pStyle w:val="ListParagraph"/>
        <w:numPr>
          <w:ilvl w:val="0"/>
          <w:numId w:val="20"/>
        </w:numPr>
        <w:jc w:val="both"/>
        <w:rPr>
          <w:b/>
          <w:i/>
          <w:lang w:val="en-GB" w:eastAsia="ja-JP"/>
        </w:rPr>
      </w:pPr>
      <w:r w:rsidRPr="00C2297C">
        <w:rPr>
          <w:rFonts w:ascii="Arial" w:hAnsi="Arial"/>
          <w:b/>
          <w:i/>
          <w:sz w:val="20"/>
          <w:szCs w:val="20"/>
          <w:lang w:val="en-US"/>
        </w:rPr>
        <w:t xml:space="preserve">At 60km/h the </w:t>
      </w:r>
      <w:r w:rsidRPr="00040DFC">
        <w:rPr>
          <w:rFonts w:ascii="Arial" w:hAnsi="Arial"/>
          <w:b/>
          <w:i/>
          <w:sz w:val="20"/>
          <w:szCs w:val="20"/>
        </w:rPr>
        <w:t xml:space="preserve">throughput </w:t>
      </w:r>
      <w:r w:rsidRPr="00DF2C53">
        <w:rPr>
          <w:rFonts w:ascii="Arial" w:hAnsi="Arial"/>
          <w:b/>
          <w:i/>
          <w:sz w:val="20"/>
          <w:szCs w:val="20"/>
          <w:lang w:val="en-US"/>
        </w:rPr>
        <w:t>loss</w:t>
      </w:r>
      <w:r>
        <w:rPr>
          <w:rFonts w:ascii="Arial" w:hAnsi="Arial"/>
          <w:b/>
          <w:i/>
          <w:sz w:val="20"/>
          <w:szCs w:val="20"/>
          <w:lang w:val="en-US"/>
        </w:rPr>
        <w:t xml:space="preserve"> is negligible.</w:t>
      </w:r>
    </w:p>
    <w:p w14:paraId="0E5D38C7" w14:textId="77777777" w:rsidR="00E856CA" w:rsidRPr="00E856CA" w:rsidRDefault="00E856CA" w:rsidP="00E856CA">
      <w:pPr>
        <w:jc w:val="both"/>
        <w:rPr>
          <w:rFonts w:ascii="Arial" w:hAnsi="Arial"/>
          <w:b/>
          <w:i/>
          <w:sz w:val="20"/>
          <w:szCs w:val="20"/>
        </w:rPr>
      </w:pPr>
      <w:r w:rsidRPr="00E856CA">
        <w:rPr>
          <w:rFonts w:ascii="Arial" w:hAnsi="Arial"/>
          <w:b/>
          <w:i/>
          <w:sz w:val="20"/>
          <w:szCs w:val="20"/>
        </w:rPr>
        <w:t>Observation 2:  At 3 km/</w:t>
      </w:r>
      <w:proofErr w:type="spellStart"/>
      <w:r w:rsidRPr="00E856CA">
        <w:rPr>
          <w:rFonts w:ascii="Arial" w:hAnsi="Arial"/>
          <w:b/>
          <w:i/>
          <w:sz w:val="20"/>
          <w:szCs w:val="20"/>
        </w:rPr>
        <w:t>hr</w:t>
      </w:r>
      <w:proofErr w:type="spellEnd"/>
      <w:r w:rsidRPr="00E856CA">
        <w:rPr>
          <w:rFonts w:ascii="Arial" w:hAnsi="Arial"/>
          <w:b/>
          <w:i/>
          <w:sz w:val="20"/>
          <w:szCs w:val="20"/>
        </w:rPr>
        <w:t xml:space="preserve"> UE speed, channel averaging to capture long-term fading does not improve throughput compared to the case with no channel averaging.  At 60 km/</w:t>
      </w:r>
      <w:proofErr w:type="spellStart"/>
      <w:r w:rsidRPr="00E856CA">
        <w:rPr>
          <w:rFonts w:ascii="Arial" w:hAnsi="Arial"/>
          <w:b/>
          <w:i/>
          <w:sz w:val="20"/>
          <w:szCs w:val="20"/>
        </w:rPr>
        <w:t>hr</w:t>
      </w:r>
      <w:proofErr w:type="spellEnd"/>
      <w:r w:rsidRPr="00E856CA">
        <w:rPr>
          <w:rFonts w:ascii="Arial" w:hAnsi="Arial"/>
          <w:b/>
          <w:i/>
          <w:sz w:val="20"/>
          <w:szCs w:val="20"/>
        </w:rPr>
        <w:t xml:space="preserve"> UE speed, averaging channel likely results in pessimistic CSI and thus throughput degrades compared to the case with no averaging.</w:t>
      </w:r>
    </w:p>
    <w:p w14:paraId="56CE7156" w14:textId="77777777" w:rsidR="00E856CA" w:rsidRPr="005E2B17" w:rsidRDefault="00E856CA" w:rsidP="00E856CA">
      <w:pPr>
        <w:pStyle w:val="Proposal"/>
        <w:numPr>
          <w:ilvl w:val="0"/>
          <w:numId w:val="0"/>
        </w:numPr>
        <w:rPr>
          <w:i/>
          <w:sz w:val="20"/>
          <w:szCs w:val="20"/>
        </w:rPr>
      </w:pPr>
      <w:r w:rsidRPr="005E2B17">
        <w:rPr>
          <w:i/>
          <w:sz w:val="20"/>
          <w:szCs w:val="20"/>
        </w:rPr>
        <w:t xml:space="preserve">Observation 3:  </w:t>
      </w:r>
      <w:r>
        <w:rPr>
          <w:i/>
          <w:sz w:val="20"/>
          <w:szCs w:val="20"/>
        </w:rPr>
        <w:t>In addition to open loop power control, c</w:t>
      </w:r>
      <w:r w:rsidRPr="005E2B17">
        <w:rPr>
          <w:i/>
          <w:sz w:val="20"/>
          <w:szCs w:val="20"/>
        </w:rPr>
        <w:t>losed loop power control can be relevant in cases where the pathloss drastically changes in which case it is important to ensure that the UE can quickly adapt its UL transmit power.</w:t>
      </w:r>
    </w:p>
    <w:p w14:paraId="19B1C5F7" w14:textId="77777777" w:rsidR="00E856CA" w:rsidRDefault="00E856CA" w:rsidP="0053334B">
      <w:pPr>
        <w:pStyle w:val="BodyText"/>
        <w:rPr>
          <w:sz w:val="20"/>
          <w:szCs w:val="20"/>
        </w:rPr>
      </w:pPr>
    </w:p>
    <w:p w14:paraId="7F9A7437" w14:textId="4310B335" w:rsidR="00E856CA" w:rsidRDefault="00E856CA" w:rsidP="00E856CA">
      <w:pPr>
        <w:pStyle w:val="BodyText"/>
        <w:rPr>
          <w:b/>
          <w:i/>
          <w:sz w:val="20"/>
          <w:szCs w:val="20"/>
        </w:rPr>
      </w:pPr>
      <w:r w:rsidRPr="00613726">
        <w:rPr>
          <w:b/>
          <w:i/>
          <w:sz w:val="20"/>
          <w:szCs w:val="20"/>
        </w:rPr>
        <w:t>Proposal 1:  For HARQ-ACK transmission timing with small TA and large TA, either extend the range of K</w:t>
      </w:r>
      <w:r w:rsidRPr="00613726">
        <w:rPr>
          <w:b/>
          <w:i/>
          <w:sz w:val="20"/>
          <w:szCs w:val="20"/>
          <w:vertAlign w:val="subscript"/>
        </w:rPr>
        <w:t>1</w:t>
      </w:r>
      <w:r w:rsidRPr="00613726">
        <w:rPr>
          <w:b/>
          <w:i/>
          <w:sz w:val="20"/>
          <w:szCs w:val="20"/>
        </w:rPr>
        <w:t xml:space="preserve"> values or introduce a configurable offset to compensate for differential RTT and full RTT, respectively.</w:t>
      </w:r>
    </w:p>
    <w:p w14:paraId="129BE208" w14:textId="77777777" w:rsidR="00E856CA" w:rsidRDefault="00E856CA" w:rsidP="00E856CA">
      <w:pPr>
        <w:pStyle w:val="BodyText"/>
        <w:rPr>
          <w:b/>
          <w:i/>
          <w:sz w:val="20"/>
          <w:szCs w:val="20"/>
        </w:rPr>
      </w:pPr>
      <w:r w:rsidRPr="00613726">
        <w:rPr>
          <w:b/>
          <w:i/>
          <w:sz w:val="20"/>
          <w:szCs w:val="20"/>
        </w:rPr>
        <w:t>Proposal 2:  For aperiodic CSI transmission timing with large TA, either extend the range of slot offset values or introduce a configurable offset to compensate for full RTT.</w:t>
      </w:r>
    </w:p>
    <w:p w14:paraId="4E0392DC" w14:textId="77777777" w:rsidR="00E856CA" w:rsidRDefault="00E856CA" w:rsidP="00E856CA">
      <w:pPr>
        <w:pStyle w:val="BodyText"/>
        <w:rPr>
          <w:b/>
          <w:i/>
          <w:sz w:val="20"/>
          <w:szCs w:val="20"/>
        </w:rPr>
      </w:pPr>
      <w:r w:rsidRPr="00237868">
        <w:rPr>
          <w:b/>
          <w:i/>
          <w:sz w:val="20"/>
          <w:szCs w:val="20"/>
        </w:rPr>
        <w:t>Proposal 3:  For PUSCH transmission timing with large TA, either extend the range of K2 values or introduce a configurable offset to compensate for full RTT, respectively.</w:t>
      </w:r>
    </w:p>
    <w:p w14:paraId="1CDC3D68" w14:textId="77777777" w:rsidR="00E856CA" w:rsidRPr="00893D97" w:rsidRDefault="00E856CA" w:rsidP="00E856CA">
      <w:pPr>
        <w:pStyle w:val="BodyText"/>
        <w:rPr>
          <w:sz w:val="20"/>
          <w:szCs w:val="20"/>
        </w:rPr>
      </w:pPr>
      <w:r w:rsidRPr="00DD1CC1">
        <w:rPr>
          <w:b/>
          <w:i/>
          <w:sz w:val="20"/>
          <w:szCs w:val="20"/>
        </w:rPr>
        <w:t>Proposal 4:  For small TA, study signaling methods for reference RTT.</w:t>
      </w:r>
      <w:r>
        <w:rPr>
          <w:b/>
          <w:i/>
          <w:sz w:val="20"/>
          <w:szCs w:val="20"/>
        </w:rPr>
        <w:t xml:space="preserve"> </w:t>
      </w:r>
    </w:p>
    <w:p w14:paraId="266E5421" w14:textId="77777777" w:rsidR="00E856CA" w:rsidRPr="005E2B17" w:rsidRDefault="00E856CA" w:rsidP="00E856CA">
      <w:pPr>
        <w:pStyle w:val="Proposal"/>
        <w:numPr>
          <w:ilvl w:val="0"/>
          <w:numId w:val="0"/>
        </w:numPr>
        <w:rPr>
          <w:i/>
          <w:sz w:val="20"/>
          <w:szCs w:val="20"/>
        </w:rPr>
      </w:pPr>
      <w:r w:rsidRPr="005E2B17">
        <w:rPr>
          <w:i/>
          <w:sz w:val="20"/>
          <w:szCs w:val="20"/>
        </w:rPr>
        <w:t>Proposal 5:  Study whether enhancements to Rel-15 open-loop and/or closed-loop power control features are needed in NTN scenarios.</w:t>
      </w:r>
    </w:p>
    <w:p w14:paraId="50D725A9" w14:textId="77777777" w:rsidR="00E856CA" w:rsidRPr="00893D97" w:rsidRDefault="00E856CA" w:rsidP="0053334B">
      <w:pPr>
        <w:pStyle w:val="BodyText"/>
        <w:rPr>
          <w:sz w:val="20"/>
          <w:szCs w:val="20"/>
        </w:rPr>
      </w:pPr>
    </w:p>
    <w:p w14:paraId="7203AEF7" w14:textId="77777777" w:rsidR="00F507D1" w:rsidRPr="00CE0424" w:rsidRDefault="00F507D1" w:rsidP="00CE0424">
      <w:pPr>
        <w:pStyle w:val="Heading1"/>
      </w:pPr>
      <w:bookmarkStart w:id="4" w:name="_In-sequence_SDU_delivery"/>
      <w:bookmarkEnd w:id="4"/>
      <w:r w:rsidRPr="00CE0424">
        <w:t>References</w:t>
      </w:r>
    </w:p>
    <w:p w14:paraId="5A225C32" w14:textId="54EC03C3" w:rsidR="004A3100" w:rsidRDefault="004A3100" w:rsidP="006B7F8F">
      <w:pPr>
        <w:pStyle w:val="Reference"/>
        <w:rPr>
          <w:sz w:val="20"/>
          <w:szCs w:val="20"/>
        </w:rPr>
      </w:pPr>
      <w:bookmarkStart w:id="5" w:name="_Ref510504022"/>
      <w:bookmarkStart w:id="6" w:name="_Ref510814820"/>
      <w:bookmarkStart w:id="7" w:name="_Ref174151459"/>
      <w:bookmarkStart w:id="8" w:name="_Ref189809556"/>
      <w:r>
        <w:rPr>
          <w:sz w:val="20"/>
          <w:szCs w:val="20"/>
        </w:rPr>
        <w:t>Chairman’s Notes RAN1#97, Reno, USA, May 2019</w:t>
      </w:r>
      <w:r w:rsidR="00036817">
        <w:rPr>
          <w:sz w:val="20"/>
          <w:szCs w:val="20"/>
        </w:rPr>
        <w:t>.</w:t>
      </w:r>
    </w:p>
    <w:p w14:paraId="776F3443" w14:textId="712DA837" w:rsidR="005F3025" w:rsidRDefault="00036817" w:rsidP="00041D4F">
      <w:pPr>
        <w:pStyle w:val="Reference"/>
        <w:rPr>
          <w:sz w:val="20"/>
          <w:szCs w:val="20"/>
        </w:rPr>
      </w:pPr>
      <w:r w:rsidRPr="00036817">
        <w:rPr>
          <w:sz w:val="20"/>
          <w:szCs w:val="20"/>
        </w:rPr>
        <w:t>R1-1907760</w:t>
      </w:r>
      <w:r>
        <w:rPr>
          <w:sz w:val="20"/>
          <w:szCs w:val="20"/>
        </w:rPr>
        <w:t>, ‘F</w:t>
      </w:r>
      <w:r w:rsidRPr="00036817">
        <w:rPr>
          <w:sz w:val="20"/>
          <w:szCs w:val="20"/>
        </w:rPr>
        <w:t>eature lead summary#2 on physical layer control procedures for NTN</w:t>
      </w:r>
      <w:r>
        <w:rPr>
          <w:sz w:val="20"/>
          <w:szCs w:val="20"/>
        </w:rPr>
        <w:t xml:space="preserve">’, </w:t>
      </w:r>
      <w:r w:rsidRPr="00036817">
        <w:rPr>
          <w:sz w:val="20"/>
          <w:szCs w:val="20"/>
        </w:rPr>
        <w:t>Ericsson</w:t>
      </w:r>
      <w:r>
        <w:rPr>
          <w:sz w:val="20"/>
          <w:szCs w:val="20"/>
        </w:rPr>
        <w:t>, RAN1#97, Reno, USA, May 2019.</w:t>
      </w:r>
      <w:bookmarkEnd w:id="5"/>
      <w:bookmarkEnd w:id="6"/>
      <w:bookmarkEnd w:id="7"/>
      <w:bookmarkEnd w:id="8"/>
    </w:p>
    <w:p w14:paraId="7F9B2C41" w14:textId="43BCF298" w:rsidR="00FE4831" w:rsidRPr="00035CAE" w:rsidRDefault="00FE4831" w:rsidP="00CB5B63">
      <w:pPr>
        <w:pStyle w:val="Reference"/>
        <w:rPr>
          <w:sz w:val="20"/>
          <w:szCs w:val="20"/>
        </w:rPr>
      </w:pPr>
      <w:r w:rsidRPr="00035CAE">
        <w:rPr>
          <w:sz w:val="20"/>
          <w:szCs w:val="20"/>
        </w:rPr>
        <w:t>3GPP TR 38.8</w:t>
      </w:r>
      <w:r w:rsidR="00A65B44">
        <w:rPr>
          <w:sz w:val="20"/>
          <w:szCs w:val="20"/>
        </w:rPr>
        <w:t>21 V0.7.0 (2019-05)</w:t>
      </w:r>
    </w:p>
    <w:p w14:paraId="30D0BDCE" w14:textId="41ECDA7A" w:rsidR="00E856CA" w:rsidRDefault="00E856CA">
      <w:pPr>
        <w:spacing w:after="0" w:line="240" w:lineRule="auto"/>
        <w:rPr>
          <w:rFonts w:ascii="Arial" w:hAnsi="Arial"/>
          <w:sz w:val="20"/>
          <w:szCs w:val="20"/>
        </w:rPr>
      </w:pPr>
      <w:r>
        <w:rPr>
          <w:rFonts w:ascii="Arial" w:hAnsi="Arial"/>
          <w:sz w:val="20"/>
          <w:szCs w:val="20"/>
        </w:rPr>
        <w:br w:type="page"/>
      </w:r>
    </w:p>
    <w:p w14:paraId="36864121" w14:textId="77777777" w:rsidR="00005E1C" w:rsidRPr="00035CAE" w:rsidRDefault="00005E1C">
      <w:pPr>
        <w:spacing w:after="0" w:line="240" w:lineRule="auto"/>
        <w:rPr>
          <w:rFonts w:ascii="Arial" w:hAnsi="Arial"/>
          <w:sz w:val="20"/>
          <w:szCs w:val="20"/>
        </w:rPr>
      </w:pPr>
    </w:p>
    <w:p w14:paraId="4DCEB0E4" w14:textId="2978025D" w:rsidR="00005E1C" w:rsidRPr="00CE0424" w:rsidRDefault="00005E1C" w:rsidP="00005E1C">
      <w:pPr>
        <w:pStyle w:val="Heading1"/>
      </w:pPr>
      <w:r>
        <w:t>Appendix: Evaluation Assumptions</w:t>
      </w:r>
    </w:p>
    <w:tbl>
      <w:tblPr>
        <w:tblW w:w="93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93"/>
        <w:gridCol w:w="5682"/>
      </w:tblGrid>
      <w:tr w:rsidR="00432287" w:rsidRPr="00432287" w14:paraId="532EC7CB" w14:textId="77777777" w:rsidTr="00814C7B">
        <w:trPr>
          <w:trHeight w:val="105"/>
        </w:trPr>
        <w:tc>
          <w:tcPr>
            <w:tcW w:w="3693"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56E18CA9" w14:textId="77777777" w:rsidR="00432287" w:rsidRPr="00432287" w:rsidRDefault="00432287" w:rsidP="00432287">
            <w:pPr>
              <w:spacing w:after="0" w:line="240" w:lineRule="auto"/>
              <w:jc w:val="center"/>
              <w:textAlignment w:val="baseline"/>
              <w:rPr>
                <w:rFonts w:ascii="Times New Roman" w:eastAsia="Times New Roman" w:hAnsi="Times New Roman" w:cs="Times New Roman"/>
                <w:b/>
                <w:bCs/>
                <w:color w:val="000000"/>
                <w:sz w:val="24"/>
                <w:szCs w:val="24"/>
              </w:rPr>
            </w:pPr>
            <w:r w:rsidRPr="00432287">
              <w:rPr>
                <w:rFonts w:ascii="Calibri" w:eastAsia="Times New Roman" w:hAnsi="Calibri" w:cs="Calibri"/>
                <w:b/>
                <w:bCs/>
                <w:color w:val="000000"/>
                <w:sz w:val="18"/>
                <w:szCs w:val="18"/>
              </w:rPr>
              <w:t>Parameters </w:t>
            </w:r>
          </w:p>
        </w:tc>
        <w:tc>
          <w:tcPr>
            <w:tcW w:w="5682" w:type="dxa"/>
            <w:tcBorders>
              <w:top w:val="single" w:sz="6" w:space="0" w:color="000000"/>
              <w:left w:val="nil"/>
              <w:bottom w:val="single" w:sz="6" w:space="0" w:color="000000"/>
              <w:right w:val="single" w:sz="6" w:space="0" w:color="000000"/>
            </w:tcBorders>
            <w:shd w:val="clear" w:color="auto" w:fill="D9D9D9"/>
            <w:vAlign w:val="center"/>
            <w:hideMark/>
          </w:tcPr>
          <w:p w14:paraId="25DE1094" w14:textId="77777777" w:rsidR="00432287" w:rsidRPr="00432287" w:rsidRDefault="00432287" w:rsidP="00432287">
            <w:pPr>
              <w:spacing w:after="0" w:line="240" w:lineRule="auto"/>
              <w:jc w:val="center"/>
              <w:textAlignment w:val="baseline"/>
              <w:rPr>
                <w:rFonts w:ascii="Times New Roman" w:eastAsia="Times New Roman" w:hAnsi="Times New Roman" w:cs="Times New Roman"/>
                <w:b/>
                <w:bCs/>
                <w:color w:val="000000"/>
                <w:sz w:val="24"/>
                <w:szCs w:val="24"/>
              </w:rPr>
            </w:pPr>
            <w:r w:rsidRPr="00432287">
              <w:rPr>
                <w:rFonts w:ascii="Calibri" w:eastAsia="Times New Roman" w:hAnsi="Calibri" w:cs="Calibri"/>
                <w:b/>
                <w:bCs/>
                <w:color w:val="000000"/>
                <w:sz w:val="18"/>
                <w:szCs w:val="18"/>
              </w:rPr>
              <w:t>Value </w:t>
            </w:r>
          </w:p>
        </w:tc>
      </w:tr>
      <w:tr w:rsidR="00432287" w:rsidRPr="00432287" w14:paraId="4F636ED8" w14:textId="77777777" w:rsidTr="00814C7B">
        <w:trPr>
          <w:trHeight w:val="285"/>
        </w:trPr>
        <w:tc>
          <w:tcPr>
            <w:tcW w:w="3693" w:type="dxa"/>
            <w:tcBorders>
              <w:top w:val="nil"/>
              <w:left w:val="single" w:sz="6" w:space="0" w:color="000000"/>
              <w:bottom w:val="single" w:sz="6" w:space="0" w:color="000000"/>
              <w:right w:val="single" w:sz="6" w:space="0" w:color="000000"/>
            </w:tcBorders>
            <w:shd w:val="clear" w:color="auto" w:fill="auto"/>
            <w:vAlign w:val="center"/>
            <w:hideMark/>
          </w:tcPr>
          <w:p w14:paraId="44B3A245" w14:textId="77777777" w:rsidR="00432287" w:rsidRPr="00432287" w:rsidRDefault="00432287" w:rsidP="00432287">
            <w:pPr>
              <w:spacing w:after="0" w:line="240" w:lineRule="auto"/>
              <w:textAlignment w:val="baseline"/>
              <w:rPr>
                <w:rFonts w:ascii="Times New Roman" w:eastAsia="Times New Roman" w:hAnsi="Times New Roman" w:cs="Times New Roman"/>
                <w:color w:val="000000"/>
                <w:sz w:val="24"/>
                <w:szCs w:val="24"/>
              </w:rPr>
            </w:pPr>
            <w:r w:rsidRPr="00432287">
              <w:rPr>
                <w:rFonts w:ascii="Calibri" w:eastAsia="Times New Roman" w:hAnsi="Calibri" w:cs="Calibri"/>
                <w:color w:val="000000"/>
                <w:sz w:val="20"/>
                <w:szCs w:val="20"/>
              </w:rPr>
              <w:t>Carrier frequency </w:t>
            </w:r>
          </w:p>
        </w:tc>
        <w:tc>
          <w:tcPr>
            <w:tcW w:w="5682" w:type="dxa"/>
            <w:tcBorders>
              <w:top w:val="nil"/>
              <w:left w:val="nil"/>
              <w:bottom w:val="single" w:sz="6" w:space="0" w:color="000000"/>
              <w:right w:val="single" w:sz="6" w:space="0" w:color="000000"/>
            </w:tcBorders>
            <w:shd w:val="clear" w:color="auto" w:fill="auto"/>
            <w:vAlign w:val="center"/>
            <w:hideMark/>
          </w:tcPr>
          <w:p w14:paraId="3A64FDA5" w14:textId="12DB0673" w:rsidR="00432287" w:rsidRPr="00432287" w:rsidRDefault="00432287" w:rsidP="00432287">
            <w:pPr>
              <w:spacing w:after="0" w:line="240" w:lineRule="auto"/>
              <w:textAlignment w:val="baseline"/>
              <w:rPr>
                <w:rFonts w:ascii="Times New Roman" w:eastAsia="Times New Roman" w:hAnsi="Times New Roman" w:cs="Times New Roman"/>
                <w:color w:val="000000"/>
                <w:sz w:val="24"/>
                <w:szCs w:val="24"/>
              </w:rPr>
            </w:pPr>
            <w:r>
              <w:rPr>
                <w:rFonts w:ascii="Calibri" w:eastAsia="Times New Roman" w:hAnsi="Calibri" w:cs="Calibri"/>
                <w:color w:val="000000"/>
                <w:sz w:val="20"/>
                <w:szCs w:val="20"/>
              </w:rPr>
              <w:t xml:space="preserve">2 </w:t>
            </w:r>
            <w:r w:rsidRPr="00432287">
              <w:rPr>
                <w:rFonts w:ascii="Calibri" w:eastAsia="Times New Roman" w:hAnsi="Calibri" w:cs="Calibri"/>
                <w:color w:val="000000"/>
                <w:sz w:val="20"/>
                <w:szCs w:val="20"/>
              </w:rPr>
              <w:t>GHz  </w:t>
            </w:r>
          </w:p>
        </w:tc>
      </w:tr>
      <w:tr w:rsidR="00432287" w:rsidRPr="00432287" w14:paraId="766E619F" w14:textId="77777777" w:rsidTr="00814C7B">
        <w:trPr>
          <w:trHeight w:val="105"/>
        </w:trPr>
        <w:tc>
          <w:tcPr>
            <w:tcW w:w="3693" w:type="dxa"/>
            <w:tcBorders>
              <w:top w:val="nil"/>
              <w:left w:val="single" w:sz="6" w:space="0" w:color="000000"/>
              <w:bottom w:val="single" w:sz="6" w:space="0" w:color="000000"/>
              <w:right w:val="single" w:sz="6" w:space="0" w:color="000000"/>
            </w:tcBorders>
            <w:shd w:val="clear" w:color="auto" w:fill="auto"/>
            <w:vAlign w:val="center"/>
          </w:tcPr>
          <w:p w14:paraId="4572DF12" w14:textId="4E68EFD4" w:rsidR="00432287" w:rsidRPr="00432287" w:rsidRDefault="00BB5ED2" w:rsidP="00432287">
            <w:pPr>
              <w:spacing w:after="0" w:line="240" w:lineRule="auto"/>
              <w:textAlignment w:val="baseline"/>
              <w:rPr>
                <w:rFonts w:ascii="Calibri" w:eastAsia="Times New Roman" w:hAnsi="Calibri" w:cs="Calibri"/>
                <w:color w:val="000000"/>
                <w:sz w:val="20"/>
                <w:szCs w:val="20"/>
              </w:rPr>
            </w:pPr>
            <w:r>
              <w:rPr>
                <w:rFonts w:ascii="Calibri" w:eastAsia="Times New Roman" w:hAnsi="Calibri" w:cs="Calibri"/>
                <w:color w:val="000000"/>
                <w:sz w:val="20"/>
                <w:szCs w:val="20"/>
              </w:rPr>
              <w:t>Scenario</w:t>
            </w:r>
          </w:p>
        </w:tc>
        <w:tc>
          <w:tcPr>
            <w:tcW w:w="5682" w:type="dxa"/>
            <w:tcBorders>
              <w:top w:val="nil"/>
              <w:left w:val="nil"/>
              <w:bottom w:val="single" w:sz="6" w:space="0" w:color="000000"/>
              <w:right w:val="single" w:sz="6" w:space="0" w:color="000000"/>
            </w:tcBorders>
            <w:shd w:val="clear" w:color="auto" w:fill="auto"/>
            <w:vAlign w:val="center"/>
          </w:tcPr>
          <w:p w14:paraId="62E4967F" w14:textId="36963FAA" w:rsidR="00432287" w:rsidRPr="00432287" w:rsidRDefault="00432287" w:rsidP="00432287">
            <w:pPr>
              <w:spacing w:after="0" w:line="240" w:lineRule="auto"/>
              <w:textAlignment w:val="baseline"/>
              <w:rPr>
                <w:rFonts w:ascii="Calibri" w:eastAsia="Times New Roman" w:hAnsi="Calibri" w:cs="Calibri"/>
                <w:color w:val="000000"/>
                <w:sz w:val="20"/>
                <w:szCs w:val="20"/>
              </w:rPr>
            </w:pPr>
            <w:r>
              <w:rPr>
                <w:rFonts w:ascii="Calibri" w:eastAsia="Times New Roman" w:hAnsi="Calibri" w:cs="Calibri"/>
                <w:color w:val="000000"/>
                <w:sz w:val="20"/>
                <w:szCs w:val="20"/>
              </w:rPr>
              <w:t>Suburban (10</w:t>
            </w:r>
            <w:r w:rsidRPr="00432287">
              <w:rPr>
                <w:rFonts w:ascii="Calibri" w:eastAsia="Times New Roman" w:hAnsi="Calibri" w:cs="Calibri"/>
                <w:color w:val="000000"/>
                <w:sz w:val="20"/>
                <w:szCs w:val="20"/>
                <w:vertAlign w:val="superscript"/>
              </w:rPr>
              <w:t>o</w:t>
            </w:r>
            <w:r>
              <w:rPr>
                <w:rFonts w:ascii="Calibri" w:eastAsia="Times New Roman" w:hAnsi="Calibri" w:cs="Calibri"/>
                <w:color w:val="000000"/>
                <w:sz w:val="20"/>
                <w:szCs w:val="20"/>
              </w:rPr>
              <w:t xml:space="preserve"> Elevation angle)</w:t>
            </w:r>
          </w:p>
        </w:tc>
      </w:tr>
      <w:tr w:rsidR="00432287" w:rsidRPr="00432287" w14:paraId="7000A5CA" w14:textId="77777777" w:rsidTr="00814C7B">
        <w:trPr>
          <w:trHeight w:val="105"/>
        </w:trPr>
        <w:tc>
          <w:tcPr>
            <w:tcW w:w="3693" w:type="dxa"/>
            <w:tcBorders>
              <w:top w:val="nil"/>
              <w:left w:val="single" w:sz="6" w:space="0" w:color="000000"/>
              <w:bottom w:val="single" w:sz="6" w:space="0" w:color="000000"/>
              <w:right w:val="single" w:sz="6" w:space="0" w:color="000000"/>
            </w:tcBorders>
            <w:shd w:val="clear" w:color="auto" w:fill="auto"/>
            <w:vAlign w:val="center"/>
            <w:hideMark/>
          </w:tcPr>
          <w:p w14:paraId="34A02E62" w14:textId="77777777" w:rsidR="00432287" w:rsidRPr="00432287" w:rsidRDefault="00432287" w:rsidP="00432287">
            <w:pPr>
              <w:spacing w:after="0" w:line="240" w:lineRule="auto"/>
              <w:textAlignment w:val="baseline"/>
              <w:rPr>
                <w:rFonts w:ascii="Times New Roman" w:eastAsia="Times New Roman" w:hAnsi="Times New Roman" w:cs="Times New Roman"/>
                <w:color w:val="000000"/>
                <w:sz w:val="24"/>
                <w:szCs w:val="24"/>
              </w:rPr>
            </w:pPr>
            <w:r w:rsidRPr="00432287">
              <w:rPr>
                <w:rFonts w:ascii="Calibri" w:eastAsia="Times New Roman" w:hAnsi="Calibri" w:cs="Calibri"/>
                <w:color w:val="000000"/>
                <w:sz w:val="20"/>
                <w:szCs w:val="20"/>
              </w:rPr>
              <w:t>BW </w:t>
            </w:r>
          </w:p>
        </w:tc>
        <w:tc>
          <w:tcPr>
            <w:tcW w:w="5682" w:type="dxa"/>
            <w:tcBorders>
              <w:top w:val="nil"/>
              <w:left w:val="nil"/>
              <w:bottom w:val="single" w:sz="6" w:space="0" w:color="000000"/>
              <w:right w:val="single" w:sz="6" w:space="0" w:color="000000"/>
            </w:tcBorders>
            <w:shd w:val="clear" w:color="auto" w:fill="auto"/>
            <w:vAlign w:val="center"/>
            <w:hideMark/>
          </w:tcPr>
          <w:p w14:paraId="00203E3F" w14:textId="07E38E75" w:rsidR="00432287" w:rsidRPr="00432287" w:rsidRDefault="00937D5E" w:rsidP="00432287">
            <w:pPr>
              <w:spacing w:after="0" w:line="240" w:lineRule="auto"/>
              <w:textAlignment w:val="baseline"/>
              <w:rPr>
                <w:rFonts w:ascii="Times New Roman" w:eastAsia="Times New Roman" w:hAnsi="Times New Roman" w:cs="Times New Roman"/>
                <w:color w:val="000000"/>
                <w:sz w:val="24"/>
                <w:szCs w:val="24"/>
              </w:rPr>
            </w:pPr>
            <w:r>
              <w:rPr>
                <w:rFonts w:ascii="Calibri" w:eastAsia="Times New Roman" w:hAnsi="Calibri" w:cs="Calibri"/>
                <w:color w:val="000000"/>
                <w:sz w:val="20"/>
                <w:szCs w:val="20"/>
              </w:rPr>
              <w:t>1</w:t>
            </w:r>
            <w:r w:rsidR="00432287" w:rsidRPr="00432287">
              <w:rPr>
                <w:rFonts w:ascii="Calibri" w:eastAsia="Times New Roman" w:hAnsi="Calibri" w:cs="Calibri"/>
                <w:color w:val="000000"/>
                <w:sz w:val="20"/>
                <w:szCs w:val="20"/>
              </w:rPr>
              <w:t>0</w:t>
            </w:r>
            <w:r w:rsidR="00BB5ED2">
              <w:rPr>
                <w:rFonts w:ascii="Calibri" w:eastAsia="Times New Roman" w:hAnsi="Calibri" w:cs="Calibri"/>
                <w:color w:val="000000"/>
                <w:sz w:val="20"/>
                <w:szCs w:val="20"/>
              </w:rPr>
              <w:t xml:space="preserve"> </w:t>
            </w:r>
            <w:r w:rsidR="00432287" w:rsidRPr="00432287">
              <w:rPr>
                <w:rFonts w:ascii="Calibri" w:eastAsia="Times New Roman" w:hAnsi="Calibri" w:cs="Calibri"/>
                <w:color w:val="000000"/>
                <w:sz w:val="20"/>
                <w:szCs w:val="20"/>
              </w:rPr>
              <w:t>MHz </w:t>
            </w:r>
          </w:p>
        </w:tc>
      </w:tr>
      <w:tr w:rsidR="00432287" w:rsidRPr="00432287" w14:paraId="0AEBE217" w14:textId="77777777" w:rsidTr="00814C7B">
        <w:trPr>
          <w:trHeight w:val="105"/>
        </w:trPr>
        <w:tc>
          <w:tcPr>
            <w:tcW w:w="3693" w:type="dxa"/>
            <w:tcBorders>
              <w:top w:val="nil"/>
              <w:left w:val="single" w:sz="6" w:space="0" w:color="000000"/>
              <w:bottom w:val="single" w:sz="6" w:space="0" w:color="000000"/>
              <w:right w:val="single" w:sz="6" w:space="0" w:color="000000"/>
            </w:tcBorders>
            <w:shd w:val="clear" w:color="auto" w:fill="auto"/>
            <w:vAlign w:val="center"/>
            <w:hideMark/>
          </w:tcPr>
          <w:p w14:paraId="63E52B58" w14:textId="77777777" w:rsidR="00432287" w:rsidRPr="00432287" w:rsidRDefault="00432287" w:rsidP="00432287">
            <w:pPr>
              <w:spacing w:after="0" w:line="240" w:lineRule="auto"/>
              <w:textAlignment w:val="baseline"/>
              <w:rPr>
                <w:rFonts w:ascii="Times New Roman" w:eastAsia="Times New Roman" w:hAnsi="Times New Roman" w:cs="Times New Roman"/>
                <w:color w:val="000000"/>
                <w:sz w:val="24"/>
                <w:szCs w:val="24"/>
              </w:rPr>
            </w:pPr>
            <w:r w:rsidRPr="00432287">
              <w:rPr>
                <w:rFonts w:ascii="Calibri" w:eastAsia="Times New Roman" w:hAnsi="Calibri" w:cs="Calibri"/>
                <w:color w:val="000000"/>
                <w:sz w:val="20"/>
                <w:szCs w:val="20"/>
              </w:rPr>
              <w:t>Subcarrier spacing </w:t>
            </w:r>
          </w:p>
        </w:tc>
        <w:tc>
          <w:tcPr>
            <w:tcW w:w="5682" w:type="dxa"/>
            <w:tcBorders>
              <w:top w:val="nil"/>
              <w:left w:val="nil"/>
              <w:bottom w:val="single" w:sz="6" w:space="0" w:color="000000"/>
              <w:right w:val="single" w:sz="6" w:space="0" w:color="000000"/>
            </w:tcBorders>
            <w:shd w:val="clear" w:color="auto" w:fill="auto"/>
            <w:vAlign w:val="center"/>
            <w:hideMark/>
          </w:tcPr>
          <w:p w14:paraId="69BCCC06" w14:textId="3FDCCE4F" w:rsidR="00432287" w:rsidRPr="00432287" w:rsidRDefault="00432287" w:rsidP="00432287">
            <w:pPr>
              <w:spacing w:after="0" w:line="240" w:lineRule="auto"/>
              <w:textAlignment w:val="baseline"/>
              <w:rPr>
                <w:rFonts w:ascii="Times New Roman" w:eastAsia="Times New Roman" w:hAnsi="Times New Roman" w:cs="Times New Roman"/>
                <w:color w:val="000000"/>
                <w:sz w:val="24"/>
                <w:szCs w:val="24"/>
              </w:rPr>
            </w:pPr>
            <w:r w:rsidRPr="00432287">
              <w:rPr>
                <w:rFonts w:ascii="Calibri" w:eastAsia="Times New Roman" w:hAnsi="Calibri" w:cs="Calibri"/>
                <w:color w:val="000000"/>
                <w:sz w:val="20"/>
                <w:szCs w:val="20"/>
              </w:rPr>
              <w:t>15</w:t>
            </w:r>
            <w:r w:rsidR="00BB5ED2">
              <w:rPr>
                <w:rFonts w:ascii="Calibri" w:eastAsia="Times New Roman" w:hAnsi="Calibri" w:cs="Calibri"/>
                <w:color w:val="000000"/>
                <w:sz w:val="20"/>
                <w:szCs w:val="20"/>
              </w:rPr>
              <w:t xml:space="preserve"> </w:t>
            </w:r>
            <w:r w:rsidRPr="00432287">
              <w:rPr>
                <w:rFonts w:ascii="Calibri" w:eastAsia="Times New Roman" w:hAnsi="Calibri" w:cs="Calibri"/>
                <w:color w:val="000000"/>
                <w:sz w:val="20"/>
                <w:szCs w:val="20"/>
              </w:rPr>
              <w:t>kHz </w:t>
            </w:r>
          </w:p>
        </w:tc>
      </w:tr>
      <w:tr w:rsidR="00432287" w:rsidRPr="00432287" w14:paraId="7B6E6D9F" w14:textId="77777777" w:rsidTr="00814C7B">
        <w:trPr>
          <w:trHeight w:val="105"/>
        </w:trPr>
        <w:tc>
          <w:tcPr>
            <w:tcW w:w="3693" w:type="dxa"/>
            <w:tcBorders>
              <w:top w:val="nil"/>
              <w:left w:val="single" w:sz="6" w:space="0" w:color="000000"/>
              <w:bottom w:val="single" w:sz="6" w:space="0" w:color="000000"/>
              <w:right w:val="single" w:sz="6" w:space="0" w:color="000000"/>
            </w:tcBorders>
            <w:shd w:val="clear" w:color="auto" w:fill="auto"/>
            <w:vAlign w:val="center"/>
            <w:hideMark/>
          </w:tcPr>
          <w:p w14:paraId="17A47B97" w14:textId="61628FA5" w:rsidR="00432287" w:rsidRPr="00432287" w:rsidRDefault="00432287" w:rsidP="00432287">
            <w:pPr>
              <w:spacing w:after="0" w:line="240" w:lineRule="auto"/>
              <w:textAlignment w:val="baseline"/>
              <w:rPr>
                <w:rFonts w:ascii="Times New Roman" w:eastAsia="Times New Roman" w:hAnsi="Times New Roman" w:cs="Times New Roman"/>
                <w:color w:val="000000"/>
                <w:sz w:val="24"/>
                <w:szCs w:val="24"/>
              </w:rPr>
            </w:pPr>
            <w:r w:rsidRPr="00432287">
              <w:rPr>
                <w:rFonts w:ascii="Calibri" w:eastAsia="Times New Roman" w:hAnsi="Calibri" w:cs="Calibri"/>
                <w:color w:val="000000"/>
                <w:sz w:val="20"/>
                <w:szCs w:val="20"/>
              </w:rPr>
              <w:t xml:space="preserve">Number of </w:t>
            </w:r>
            <w:r w:rsidR="00472CF3">
              <w:rPr>
                <w:rFonts w:ascii="Calibri" w:eastAsia="Times New Roman" w:hAnsi="Calibri" w:cs="Calibri"/>
                <w:color w:val="000000"/>
                <w:sz w:val="20"/>
                <w:szCs w:val="20"/>
              </w:rPr>
              <w:t>antennas</w:t>
            </w:r>
          </w:p>
        </w:tc>
        <w:tc>
          <w:tcPr>
            <w:tcW w:w="5682" w:type="dxa"/>
            <w:tcBorders>
              <w:top w:val="nil"/>
              <w:left w:val="nil"/>
              <w:bottom w:val="single" w:sz="6" w:space="0" w:color="000000"/>
              <w:right w:val="single" w:sz="6" w:space="0" w:color="000000"/>
            </w:tcBorders>
            <w:shd w:val="clear" w:color="auto" w:fill="auto"/>
            <w:vAlign w:val="center"/>
            <w:hideMark/>
          </w:tcPr>
          <w:p w14:paraId="1C261132" w14:textId="65BA6777" w:rsidR="00432287" w:rsidRPr="00432287" w:rsidRDefault="00472CF3" w:rsidP="00432287">
            <w:pPr>
              <w:spacing w:after="0" w:line="240" w:lineRule="auto"/>
              <w:textAlignment w:val="baseline"/>
              <w:rPr>
                <w:rFonts w:ascii="Times New Roman" w:eastAsia="Times New Roman" w:hAnsi="Times New Roman" w:cs="Times New Roman"/>
                <w:color w:val="000000"/>
                <w:sz w:val="24"/>
                <w:szCs w:val="24"/>
              </w:rPr>
            </w:pPr>
            <w:r>
              <w:rPr>
                <w:rFonts w:ascii="Calibri" w:eastAsia="Times New Roman" w:hAnsi="Calibri" w:cs="Calibri"/>
                <w:color w:val="000000"/>
                <w:sz w:val="20"/>
                <w:szCs w:val="20"/>
              </w:rPr>
              <w:t>1 at gNB and 2 at UE</w:t>
            </w:r>
          </w:p>
        </w:tc>
      </w:tr>
      <w:tr w:rsidR="00432287" w:rsidRPr="00432287" w14:paraId="3E159D19" w14:textId="77777777" w:rsidTr="00814C7B">
        <w:trPr>
          <w:trHeight w:val="105"/>
        </w:trPr>
        <w:tc>
          <w:tcPr>
            <w:tcW w:w="3693" w:type="dxa"/>
            <w:tcBorders>
              <w:top w:val="nil"/>
              <w:left w:val="single" w:sz="6" w:space="0" w:color="000000"/>
              <w:bottom w:val="single" w:sz="6" w:space="0" w:color="000000"/>
              <w:right w:val="single" w:sz="6" w:space="0" w:color="000000"/>
            </w:tcBorders>
            <w:shd w:val="clear" w:color="auto" w:fill="auto"/>
            <w:vAlign w:val="center"/>
            <w:hideMark/>
          </w:tcPr>
          <w:p w14:paraId="56707162" w14:textId="77777777" w:rsidR="00432287" w:rsidRPr="00432287" w:rsidRDefault="00432287" w:rsidP="00432287">
            <w:pPr>
              <w:spacing w:after="0" w:line="240" w:lineRule="auto"/>
              <w:textAlignment w:val="baseline"/>
              <w:rPr>
                <w:rFonts w:ascii="Times New Roman" w:eastAsia="Times New Roman" w:hAnsi="Times New Roman" w:cs="Times New Roman"/>
                <w:color w:val="000000"/>
                <w:sz w:val="24"/>
                <w:szCs w:val="24"/>
              </w:rPr>
            </w:pPr>
            <w:r w:rsidRPr="00432287">
              <w:rPr>
                <w:rFonts w:ascii="Calibri" w:eastAsia="Times New Roman" w:hAnsi="Calibri" w:cs="Calibri"/>
                <w:color w:val="000000"/>
                <w:sz w:val="20"/>
                <w:szCs w:val="20"/>
              </w:rPr>
              <w:t>Pathloss offset of 2</w:t>
            </w:r>
            <w:r w:rsidRPr="00432287">
              <w:rPr>
                <w:rFonts w:ascii="Calibri" w:eastAsia="Times New Roman" w:hAnsi="Calibri" w:cs="Calibri"/>
                <w:color w:val="000000"/>
                <w:sz w:val="16"/>
                <w:szCs w:val="16"/>
                <w:vertAlign w:val="superscript"/>
              </w:rPr>
              <w:t>nd</w:t>
            </w:r>
            <w:r w:rsidRPr="00432287">
              <w:rPr>
                <w:rFonts w:ascii="Calibri" w:eastAsia="Times New Roman" w:hAnsi="Calibri" w:cs="Calibri"/>
                <w:color w:val="000000"/>
                <w:sz w:val="20"/>
                <w:szCs w:val="20"/>
              </w:rPr>
              <w:t xml:space="preserve"> TRP </w:t>
            </w:r>
          </w:p>
        </w:tc>
        <w:tc>
          <w:tcPr>
            <w:tcW w:w="5682" w:type="dxa"/>
            <w:tcBorders>
              <w:top w:val="nil"/>
              <w:left w:val="nil"/>
              <w:bottom w:val="single" w:sz="6" w:space="0" w:color="000000"/>
              <w:right w:val="single" w:sz="6" w:space="0" w:color="000000"/>
            </w:tcBorders>
            <w:shd w:val="clear" w:color="auto" w:fill="auto"/>
            <w:vAlign w:val="center"/>
            <w:hideMark/>
          </w:tcPr>
          <w:p w14:paraId="32BAA9EC" w14:textId="14E38232" w:rsidR="00432287" w:rsidRPr="00432287" w:rsidRDefault="00432287" w:rsidP="00432287">
            <w:pPr>
              <w:spacing w:after="0" w:line="240" w:lineRule="auto"/>
              <w:textAlignment w:val="baseline"/>
              <w:rPr>
                <w:rFonts w:ascii="Times New Roman" w:eastAsia="Times New Roman" w:hAnsi="Times New Roman" w:cs="Times New Roman"/>
                <w:color w:val="000000"/>
                <w:sz w:val="24"/>
                <w:szCs w:val="24"/>
              </w:rPr>
            </w:pPr>
            <w:r w:rsidRPr="00432287">
              <w:rPr>
                <w:rFonts w:ascii="Calibri" w:eastAsia="Times New Roman" w:hAnsi="Calibri" w:cs="Calibri"/>
                <w:color w:val="000000"/>
                <w:sz w:val="20"/>
                <w:szCs w:val="20"/>
              </w:rPr>
              <w:t>0</w:t>
            </w:r>
            <w:r w:rsidR="00BB5ED2">
              <w:rPr>
                <w:rFonts w:ascii="Calibri" w:eastAsia="Times New Roman" w:hAnsi="Calibri" w:cs="Calibri"/>
                <w:color w:val="000000"/>
                <w:sz w:val="20"/>
                <w:szCs w:val="20"/>
              </w:rPr>
              <w:t xml:space="preserve"> </w:t>
            </w:r>
            <w:r w:rsidRPr="00432287">
              <w:rPr>
                <w:rFonts w:ascii="Calibri" w:eastAsia="Times New Roman" w:hAnsi="Calibri" w:cs="Calibri"/>
                <w:color w:val="000000"/>
                <w:sz w:val="20"/>
                <w:szCs w:val="20"/>
              </w:rPr>
              <w:t>dB </w:t>
            </w:r>
          </w:p>
        </w:tc>
      </w:tr>
      <w:tr w:rsidR="00432287" w:rsidRPr="00432287" w14:paraId="33F4EE19" w14:textId="77777777" w:rsidTr="00814C7B">
        <w:trPr>
          <w:trHeight w:val="105"/>
        </w:trPr>
        <w:tc>
          <w:tcPr>
            <w:tcW w:w="3693" w:type="dxa"/>
            <w:tcBorders>
              <w:top w:val="nil"/>
              <w:left w:val="single" w:sz="6" w:space="0" w:color="000000"/>
              <w:bottom w:val="single" w:sz="6" w:space="0" w:color="000000"/>
              <w:right w:val="single" w:sz="6" w:space="0" w:color="000000"/>
            </w:tcBorders>
            <w:shd w:val="clear" w:color="auto" w:fill="auto"/>
            <w:vAlign w:val="center"/>
            <w:hideMark/>
          </w:tcPr>
          <w:p w14:paraId="1D1C6D36" w14:textId="77777777" w:rsidR="00432287" w:rsidRPr="00432287" w:rsidRDefault="00432287" w:rsidP="00432287">
            <w:pPr>
              <w:spacing w:after="0" w:line="240" w:lineRule="auto"/>
              <w:textAlignment w:val="baseline"/>
              <w:rPr>
                <w:rFonts w:ascii="Times New Roman" w:eastAsia="Times New Roman" w:hAnsi="Times New Roman" w:cs="Times New Roman"/>
                <w:color w:val="000000"/>
                <w:sz w:val="24"/>
                <w:szCs w:val="24"/>
              </w:rPr>
            </w:pPr>
            <w:r w:rsidRPr="00432287">
              <w:rPr>
                <w:rFonts w:ascii="Calibri" w:eastAsia="Times New Roman" w:hAnsi="Calibri" w:cs="Calibri"/>
                <w:color w:val="000000"/>
                <w:sz w:val="20"/>
                <w:szCs w:val="20"/>
              </w:rPr>
              <w:t>Channel estimation </w:t>
            </w:r>
          </w:p>
        </w:tc>
        <w:tc>
          <w:tcPr>
            <w:tcW w:w="5682" w:type="dxa"/>
            <w:tcBorders>
              <w:top w:val="nil"/>
              <w:left w:val="nil"/>
              <w:bottom w:val="single" w:sz="6" w:space="0" w:color="000000"/>
              <w:right w:val="single" w:sz="6" w:space="0" w:color="000000"/>
            </w:tcBorders>
            <w:shd w:val="clear" w:color="auto" w:fill="auto"/>
            <w:vAlign w:val="center"/>
            <w:hideMark/>
          </w:tcPr>
          <w:p w14:paraId="66966D88" w14:textId="135F3FF1" w:rsidR="00432287" w:rsidRPr="00432287" w:rsidRDefault="003268D9" w:rsidP="00432287">
            <w:pPr>
              <w:spacing w:after="0" w:line="240" w:lineRule="auto"/>
              <w:textAlignment w:val="baseline"/>
              <w:rPr>
                <w:rFonts w:ascii="Times New Roman" w:eastAsia="Times New Roman" w:hAnsi="Times New Roman" w:cs="Times New Roman"/>
                <w:color w:val="000000"/>
                <w:sz w:val="24"/>
                <w:szCs w:val="24"/>
              </w:rPr>
            </w:pPr>
            <w:r>
              <w:rPr>
                <w:rFonts w:ascii="Calibri" w:eastAsia="Times New Roman" w:hAnsi="Calibri" w:cs="Calibri"/>
                <w:color w:val="000000"/>
              </w:rPr>
              <w:t>Ideal</w:t>
            </w:r>
          </w:p>
        </w:tc>
      </w:tr>
      <w:tr w:rsidR="00432287" w:rsidRPr="00432287" w14:paraId="758BAEC8" w14:textId="77777777" w:rsidTr="00E856CA">
        <w:trPr>
          <w:trHeight w:val="105"/>
        </w:trPr>
        <w:tc>
          <w:tcPr>
            <w:tcW w:w="3693" w:type="dxa"/>
            <w:tcBorders>
              <w:top w:val="nil"/>
              <w:left w:val="single" w:sz="6" w:space="0" w:color="000000"/>
              <w:bottom w:val="single" w:sz="4" w:space="0" w:color="auto"/>
              <w:right w:val="single" w:sz="6" w:space="0" w:color="000000"/>
            </w:tcBorders>
            <w:shd w:val="clear" w:color="auto" w:fill="auto"/>
            <w:vAlign w:val="center"/>
            <w:hideMark/>
          </w:tcPr>
          <w:p w14:paraId="565EF9F1" w14:textId="3359A075" w:rsidR="00432287" w:rsidRPr="00432287" w:rsidRDefault="003268D9" w:rsidP="00432287">
            <w:pPr>
              <w:spacing w:after="0" w:line="240" w:lineRule="auto"/>
              <w:textAlignment w:val="baseline"/>
              <w:rPr>
                <w:rFonts w:ascii="Times New Roman" w:eastAsia="Times New Roman" w:hAnsi="Times New Roman" w:cs="Times New Roman"/>
                <w:color w:val="000000"/>
                <w:sz w:val="24"/>
                <w:szCs w:val="24"/>
              </w:rPr>
            </w:pPr>
            <w:r>
              <w:rPr>
                <w:rFonts w:ascii="Calibri" w:eastAsia="Times New Roman" w:hAnsi="Calibri" w:cs="Calibri"/>
                <w:color w:val="000000"/>
                <w:sz w:val="20"/>
                <w:szCs w:val="20"/>
              </w:rPr>
              <w:t>CSI reporting periodicity</w:t>
            </w:r>
          </w:p>
        </w:tc>
        <w:tc>
          <w:tcPr>
            <w:tcW w:w="5682" w:type="dxa"/>
            <w:tcBorders>
              <w:top w:val="nil"/>
              <w:left w:val="nil"/>
              <w:bottom w:val="single" w:sz="4" w:space="0" w:color="auto"/>
              <w:right w:val="single" w:sz="6" w:space="0" w:color="000000"/>
            </w:tcBorders>
            <w:shd w:val="clear" w:color="auto" w:fill="auto"/>
            <w:vAlign w:val="center"/>
            <w:hideMark/>
          </w:tcPr>
          <w:p w14:paraId="14A7699F" w14:textId="2DE401F9" w:rsidR="00432287" w:rsidRPr="00432287" w:rsidRDefault="003268D9" w:rsidP="00432287">
            <w:pPr>
              <w:spacing w:after="0" w:line="240" w:lineRule="auto"/>
              <w:textAlignment w:val="baseline"/>
              <w:rPr>
                <w:rFonts w:ascii="Times New Roman" w:eastAsia="Times New Roman" w:hAnsi="Times New Roman" w:cs="Times New Roman"/>
                <w:color w:val="000000"/>
                <w:sz w:val="24"/>
                <w:szCs w:val="24"/>
              </w:rPr>
            </w:pPr>
            <w:r>
              <w:rPr>
                <w:rFonts w:ascii="Calibri" w:eastAsia="Times New Roman" w:hAnsi="Calibri" w:cs="Calibri"/>
                <w:color w:val="000000"/>
              </w:rPr>
              <w:t>5 ms</w:t>
            </w:r>
            <w:r w:rsidR="00432287" w:rsidRPr="00432287">
              <w:rPr>
                <w:rFonts w:ascii="Calibri" w:eastAsia="Times New Roman" w:hAnsi="Calibri" w:cs="Calibri"/>
                <w:color w:val="000000"/>
              </w:rPr>
              <w:t> </w:t>
            </w:r>
          </w:p>
        </w:tc>
      </w:tr>
      <w:tr w:rsidR="007E22F1" w:rsidRPr="00432287" w14:paraId="20CCBCE4" w14:textId="77777777" w:rsidTr="00E856CA">
        <w:trPr>
          <w:trHeight w:val="105"/>
        </w:trPr>
        <w:tc>
          <w:tcPr>
            <w:tcW w:w="3693" w:type="dxa"/>
            <w:tcBorders>
              <w:top w:val="single" w:sz="4" w:space="0" w:color="auto"/>
              <w:left w:val="single" w:sz="4" w:space="0" w:color="auto"/>
              <w:bottom w:val="single" w:sz="4" w:space="0" w:color="auto"/>
              <w:right w:val="single" w:sz="4" w:space="0" w:color="auto"/>
            </w:tcBorders>
            <w:shd w:val="clear" w:color="auto" w:fill="auto"/>
            <w:vAlign w:val="center"/>
          </w:tcPr>
          <w:p w14:paraId="67420C85" w14:textId="0CE881BC" w:rsidR="007E22F1" w:rsidRDefault="00C57622" w:rsidP="00432287">
            <w:pPr>
              <w:spacing w:after="0" w:line="240" w:lineRule="auto"/>
              <w:textAlignment w:val="baseline"/>
              <w:rPr>
                <w:rFonts w:ascii="Calibri" w:eastAsia="Times New Roman" w:hAnsi="Calibri" w:cs="Calibri"/>
                <w:color w:val="000000"/>
                <w:sz w:val="20"/>
                <w:szCs w:val="20"/>
              </w:rPr>
            </w:pPr>
            <w:r>
              <w:rPr>
                <w:rFonts w:ascii="Calibri" w:eastAsia="Times New Roman" w:hAnsi="Calibri" w:cs="Calibri"/>
                <w:color w:val="000000"/>
                <w:sz w:val="20"/>
                <w:szCs w:val="20"/>
              </w:rPr>
              <w:t>Time and frequency tracking</w:t>
            </w:r>
          </w:p>
        </w:tc>
        <w:tc>
          <w:tcPr>
            <w:tcW w:w="5682" w:type="dxa"/>
            <w:tcBorders>
              <w:top w:val="single" w:sz="4" w:space="0" w:color="auto"/>
              <w:left w:val="single" w:sz="4" w:space="0" w:color="auto"/>
              <w:bottom w:val="single" w:sz="4" w:space="0" w:color="auto"/>
              <w:right w:val="single" w:sz="4" w:space="0" w:color="auto"/>
            </w:tcBorders>
            <w:shd w:val="clear" w:color="auto" w:fill="auto"/>
            <w:vAlign w:val="center"/>
          </w:tcPr>
          <w:p w14:paraId="6BE73AEE" w14:textId="4C7EFAD1" w:rsidR="007E22F1" w:rsidRDefault="00C57622" w:rsidP="00432287">
            <w:pPr>
              <w:spacing w:after="0" w:line="240" w:lineRule="auto"/>
              <w:textAlignment w:val="baseline"/>
              <w:rPr>
                <w:rFonts w:ascii="Calibri" w:eastAsia="Times New Roman" w:hAnsi="Calibri" w:cs="Calibri"/>
                <w:color w:val="000000"/>
              </w:rPr>
            </w:pPr>
            <w:r>
              <w:rPr>
                <w:rFonts w:ascii="Calibri" w:eastAsia="Times New Roman" w:hAnsi="Calibri" w:cs="Calibri"/>
                <w:color w:val="000000"/>
              </w:rPr>
              <w:t>Ideal</w:t>
            </w:r>
          </w:p>
        </w:tc>
      </w:tr>
    </w:tbl>
    <w:p w14:paraId="698C7E1B" w14:textId="77777777" w:rsidR="00005E1C" w:rsidRPr="00FE4831" w:rsidRDefault="00005E1C" w:rsidP="00005E1C">
      <w:pPr>
        <w:pStyle w:val="Reference"/>
        <w:numPr>
          <w:ilvl w:val="0"/>
          <w:numId w:val="0"/>
        </w:numPr>
        <w:ind w:left="567" w:hanging="567"/>
        <w:rPr>
          <w:sz w:val="20"/>
          <w:szCs w:val="20"/>
          <w:highlight w:val="yellow"/>
        </w:rPr>
      </w:pPr>
    </w:p>
    <w:sectPr w:rsidR="00005E1C" w:rsidRPr="00FE4831"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51B86D" w14:textId="77777777" w:rsidR="009A66E9" w:rsidRDefault="009A66E9">
      <w:r>
        <w:separator/>
      </w:r>
    </w:p>
  </w:endnote>
  <w:endnote w:type="continuationSeparator" w:id="0">
    <w:p w14:paraId="4023C2D9" w14:textId="77777777" w:rsidR="009A66E9" w:rsidRDefault="009A6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D252F0" w:rsidRDefault="00D252F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5545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545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8D4F48" w14:textId="77777777" w:rsidR="009A66E9" w:rsidRDefault="009A66E9">
      <w:r>
        <w:separator/>
      </w:r>
    </w:p>
  </w:footnote>
  <w:footnote w:type="continuationSeparator" w:id="0">
    <w:p w14:paraId="683E3AED" w14:textId="77777777" w:rsidR="009A66E9" w:rsidRDefault="009A66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D252F0" w:rsidRDefault="00D252F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63F3285"/>
    <w:multiLevelType w:val="hybridMultilevel"/>
    <w:tmpl w:val="B688FE9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A6D729D"/>
    <w:multiLevelType w:val="hybridMultilevel"/>
    <w:tmpl w:val="6A8A99FA"/>
    <w:lvl w:ilvl="0" w:tplc="0CB03FF8">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09F5112"/>
    <w:multiLevelType w:val="hybridMultilevel"/>
    <w:tmpl w:val="B810C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5DD33B01"/>
    <w:multiLevelType w:val="hybridMultilevel"/>
    <w:tmpl w:val="99525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3103DD"/>
    <w:multiLevelType w:val="hybridMultilevel"/>
    <w:tmpl w:val="CF268E4A"/>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6" w15:restartNumberingAfterBreak="0">
    <w:nsid w:val="6A371199"/>
    <w:multiLevelType w:val="hybridMultilevel"/>
    <w:tmpl w:val="C8086056"/>
    <w:lvl w:ilvl="0" w:tplc="62D60DAC">
      <w:start w:val="29"/>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063D56"/>
    <w:multiLevelType w:val="hybridMultilevel"/>
    <w:tmpl w:val="915AAF96"/>
    <w:lvl w:ilvl="0" w:tplc="3E98E20C">
      <w:start w:val="10"/>
      <w:numFmt w:val="bullet"/>
      <w:lvlText w:val=""/>
      <w:lvlJc w:val="left"/>
      <w:pPr>
        <w:ind w:left="924" w:hanging="360"/>
      </w:pPr>
      <w:rPr>
        <w:rFonts w:ascii="Wingdings" w:eastAsiaTheme="minorHAnsi" w:hAnsi="Wingdings" w:cstheme="minorBidi"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6F0A12DF"/>
    <w:multiLevelType w:val="hybridMultilevel"/>
    <w:tmpl w:val="45AC6E16"/>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0"/>
  </w:num>
  <w:num w:numId="2">
    <w:abstractNumId w:val="8"/>
  </w:num>
  <w:num w:numId="3">
    <w:abstractNumId w:val="0"/>
  </w:num>
  <w:num w:numId="4">
    <w:abstractNumId w:val="11"/>
  </w:num>
  <w:num w:numId="5">
    <w:abstractNumId w:val="12"/>
  </w:num>
  <w:num w:numId="6">
    <w:abstractNumId w:val="13"/>
  </w:num>
  <w:num w:numId="7">
    <w:abstractNumId w:val="4"/>
  </w:num>
  <w:num w:numId="8">
    <w:abstractNumId w:val="5"/>
  </w:num>
  <w:num w:numId="9">
    <w:abstractNumId w:val="1"/>
  </w:num>
  <w:num w:numId="10">
    <w:abstractNumId w:val="20"/>
  </w:num>
  <w:num w:numId="11">
    <w:abstractNumId w:val="7"/>
  </w:num>
  <w:num w:numId="12">
    <w:abstractNumId w:val="18"/>
  </w:num>
  <w:num w:numId="13">
    <w:abstractNumId w:val="6"/>
  </w:num>
  <w:num w:numId="14">
    <w:abstractNumId w:val="15"/>
  </w:num>
  <w:num w:numId="15">
    <w:abstractNumId w:val="2"/>
  </w:num>
  <w:num w:numId="16">
    <w:abstractNumId w:val="3"/>
  </w:num>
  <w:num w:numId="17">
    <w:abstractNumId w:val="16"/>
  </w:num>
  <w:num w:numId="18">
    <w:abstractNumId w:val="17"/>
  </w:num>
  <w:num w:numId="19">
    <w:abstractNumId w:val="19"/>
  </w:num>
  <w:num w:numId="20">
    <w:abstractNumId w:val="14"/>
  </w:num>
  <w:num w:numId="21">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0E3"/>
    <w:rsid w:val="000017FF"/>
    <w:rsid w:val="00002A37"/>
    <w:rsid w:val="0000564C"/>
    <w:rsid w:val="00005E1C"/>
    <w:rsid w:val="00006446"/>
    <w:rsid w:val="00006896"/>
    <w:rsid w:val="00007CDC"/>
    <w:rsid w:val="00011B28"/>
    <w:rsid w:val="00015D15"/>
    <w:rsid w:val="00024472"/>
    <w:rsid w:val="0002564D"/>
    <w:rsid w:val="00025ECA"/>
    <w:rsid w:val="00026506"/>
    <w:rsid w:val="000325B8"/>
    <w:rsid w:val="00033A33"/>
    <w:rsid w:val="00034C15"/>
    <w:rsid w:val="00035CAE"/>
    <w:rsid w:val="000367DD"/>
    <w:rsid w:val="00036817"/>
    <w:rsid w:val="00036BA1"/>
    <w:rsid w:val="00040DFC"/>
    <w:rsid w:val="00041D4F"/>
    <w:rsid w:val="000422E2"/>
    <w:rsid w:val="00042F22"/>
    <w:rsid w:val="00043A70"/>
    <w:rsid w:val="000444EF"/>
    <w:rsid w:val="00044C67"/>
    <w:rsid w:val="00052A07"/>
    <w:rsid w:val="000534E3"/>
    <w:rsid w:val="0005606A"/>
    <w:rsid w:val="00056D54"/>
    <w:rsid w:val="00057117"/>
    <w:rsid w:val="0006025C"/>
    <w:rsid w:val="000616E7"/>
    <w:rsid w:val="0006358C"/>
    <w:rsid w:val="0006487E"/>
    <w:rsid w:val="0006535A"/>
    <w:rsid w:val="00065E1A"/>
    <w:rsid w:val="00070E57"/>
    <w:rsid w:val="00072028"/>
    <w:rsid w:val="00072081"/>
    <w:rsid w:val="00072DF6"/>
    <w:rsid w:val="00075217"/>
    <w:rsid w:val="00077960"/>
    <w:rsid w:val="00077E5F"/>
    <w:rsid w:val="0008036A"/>
    <w:rsid w:val="00081160"/>
    <w:rsid w:val="00081AE6"/>
    <w:rsid w:val="000855EB"/>
    <w:rsid w:val="00085B52"/>
    <w:rsid w:val="000866F2"/>
    <w:rsid w:val="0009009F"/>
    <w:rsid w:val="00091557"/>
    <w:rsid w:val="000924C1"/>
    <w:rsid w:val="000924F0"/>
    <w:rsid w:val="00093474"/>
    <w:rsid w:val="0009510F"/>
    <w:rsid w:val="000A0DFE"/>
    <w:rsid w:val="000A1B7B"/>
    <w:rsid w:val="000A4241"/>
    <w:rsid w:val="000A5107"/>
    <w:rsid w:val="000A56F2"/>
    <w:rsid w:val="000B1C7D"/>
    <w:rsid w:val="000B2719"/>
    <w:rsid w:val="000B3A8F"/>
    <w:rsid w:val="000B4AB9"/>
    <w:rsid w:val="000B58C3"/>
    <w:rsid w:val="000B61E9"/>
    <w:rsid w:val="000B71EB"/>
    <w:rsid w:val="000C165A"/>
    <w:rsid w:val="000C2E19"/>
    <w:rsid w:val="000C493A"/>
    <w:rsid w:val="000C7E89"/>
    <w:rsid w:val="000D0D07"/>
    <w:rsid w:val="000D1F07"/>
    <w:rsid w:val="000D306C"/>
    <w:rsid w:val="000D3292"/>
    <w:rsid w:val="000D3D4C"/>
    <w:rsid w:val="000D4797"/>
    <w:rsid w:val="000D7F1F"/>
    <w:rsid w:val="000E0527"/>
    <w:rsid w:val="000E1E92"/>
    <w:rsid w:val="000E5128"/>
    <w:rsid w:val="000E6AB3"/>
    <w:rsid w:val="000F06D6"/>
    <w:rsid w:val="000F0EB1"/>
    <w:rsid w:val="000F1106"/>
    <w:rsid w:val="000F176A"/>
    <w:rsid w:val="000F36A4"/>
    <w:rsid w:val="000F3BE9"/>
    <w:rsid w:val="000F3F6C"/>
    <w:rsid w:val="000F6DF3"/>
    <w:rsid w:val="001005FF"/>
    <w:rsid w:val="00105095"/>
    <w:rsid w:val="001062FB"/>
    <w:rsid w:val="001063E6"/>
    <w:rsid w:val="0011097A"/>
    <w:rsid w:val="00113CF4"/>
    <w:rsid w:val="001153EA"/>
    <w:rsid w:val="00115643"/>
    <w:rsid w:val="00116765"/>
    <w:rsid w:val="001219F5"/>
    <w:rsid w:val="00121A20"/>
    <w:rsid w:val="0012278F"/>
    <w:rsid w:val="0012377F"/>
    <w:rsid w:val="00124314"/>
    <w:rsid w:val="00126B4A"/>
    <w:rsid w:val="0013158C"/>
    <w:rsid w:val="00132FD0"/>
    <w:rsid w:val="001344C0"/>
    <w:rsid w:val="001346FA"/>
    <w:rsid w:val="00135252"/>
    <w:rsid w:val="00135AF1"/>
    <w:rsid w:val="00137AB5"/>
    <w:rsid w:val="00137F0B"/>
    <w:rsid w:val="00147366"/>
    <w:rsid w:val="00151E23"/>
    <w:rsid w:val="001526E0"/>
    <w:rsid w:val="001551B5"/>
    <w:rsid w:val="001659C1"/>
    <w:rsid w:val="00173A8E"/>
    <w:rsid w:val="0017502C"/>
    <w:rsid w:val="00180BFA"/>
    <w:rsid w:val="0018143F"/>
    <w:rsid w:val="00181FF8"/>
    <w:rsid w:val="00190AC1"/>
    <w:rsid w:val="00192ABB"/>
    <w:rsid w:val="0019341A"/>
    <w:rsid w:val="00194541"/>
    <w:rsid w:val="0019469A"/>
    <w:rsid w:val="00197DF9"/>
    <w:rsid w:val="001A0480"/>
    <w:rsid w:val="001A1987"/>
    <w:rsid w:val="001A2564"/>
    <w:rsid w:val="001A29D7"/>
    <w:rsid w:val="001A4E6D"/>
    <w:rsid w:val="001A5ADE"/>
    <w:rsid w:val="001A5C53"/>
    <w:rsid w:val="001A5F42"/>
    <w:rsid w:val="001A6173"/>
    <w:rsid w:val="001A68CD"/>
    <w:rsid w:val="001A6CBA"/>
    <w:rsid w:val="001B0D97"/>
    <w:rsid w:val="001B1A96"/>
    <w:rsid w:val="001B56F9"/>
    <w:rsid w:val="001B5A5D"/>
    <w:rsid w:val="001C1CE5"/>
    <w:rsid w:val="001C3D2A"/>
    <w:rsid w:val="001D1B5D"/>
    <w:rsid w:val="001D51BA"/>
    <w:rsid w:val="001D53E7"/>
    <w:rsid w:val="001D6342"/>
    <w:rsid w:val="001D6D53"/>
    <w:rsid w:val="001E0B41"/>
    <w:rsid w:val="001E390A"/>
    <w:rsid w:val="001E58E2"/>
    <w:rsid w:val="001E7AED"/>
    <w:rsid w:val="001F38F2"/>
    <w:rsid w:val="001F3916"/>
    <w:rsid w:val="001F54C5"/>
    <w:rsid w:val="001F662C"/>
    <w:rsid w:val="001F7074"/>
    <w:rsid w:val="00200490"/>
    <w:rsid w:val="00201F3A"/>
    <w:rsid w:val="00203F96"/>
    <w:rsid w:val="002069B2"/>
    <w:rsid w:val="00207C8E"/>
    <w:rsid w:val="00207FA3"/>
    <w:rsid w:val="00214DA8"/>
    <w:rsid w:val="00215423"/>
    <w:rsid w:val="002158FA"/>
    <w:rsid w:val="00220600"/>
    <w:rsid w:val="002224DB"/>
    <w:rsid w:val="00223FCB"/>
    <w:rsid w:val="002252C3"/>
    <w:rsid w:val="00225C54"/>
    <w:rsid w:val="00225ED9"/>
    <w:rsid w:val="00227475"/>
    <w:rsid w:val="00230765"/>
    <w:rsid w:val="00230CFF"/>
    <w:rsid w:val="00230D18"/>
    <w:rsid w:val="002319E4"/>
    <w:rsid w:val="002338B3"/>
    <w:rsid w:val="00235632"/>
    <w:rsid w:val="00235872"/>
    <w:rsid w:val="00236B11"/>
    <w:rsid w:val="00237868"/>
    <w:rsid w:val="00240012"/>
    <w:rsid w:val="00241559"/>
    <w:rsid w:val="002435B3"/>
    <w:rsid w:val="002458EB"/>
    <w:rsid w:val="002500C8"/>
    <w:rsid w:val="002513A3"/>
    <w:rsid w:val="002528CC"/>
    <w:rsid w:val="002535F9"/>
    <w:rsid w:val="0025463C"/>
    <w:rsid w:val="00257543"/>
    <w:rsid w:val="002617E7"/>
    <w:rsid w:val="00263E22"/>
    <w:rsid w:val="00264228"/>
    <w:rsid w:val="00264334"/>
    <w:rsid w:val="0026473E"/>
    <w:rsid w:val="00265574"/>
    <w:rsid w:val="00266214"/>
    <w:rsid w:val="002672C8"/>
    <w:rsid w:val="00267C83"/>
    <w:rsid w:val="00270874"/>
    <w:rsid w:val="0027144F"/>
    <w:rsid w:val="00271813"/>
    <w:rsid w:val="00271F3A"/>
    <w:rsid w:val="00273278"/>
    <w:rsid w:val="002737F4"/>
    <w:rsid w:val="002805F5"/>
    <w:rsid w:val="00280751"/>
    <w:rsid w:val="00281D59"/>
    <w:rsid w:val="0028280A"/>
    <w:rsid w:val="00284F4A"/>
    <w:rsid w:val="002862CA"/>
    <w:rsid w:val="00286ACD"/>
    <w:rsid w:val="00287838"/>
    <w:rsid w:val="002907B5"/>
    <w:rsid w:val="00291CB8"/>
    <w:rsid w:val="00292108"/>
    <w:rsid w:val="00292EB7"/>
    <w:rsid w:val="00296227"/>
    <w:rsid w:val="00296F44"/>
    <w:rsid w:val="0029777D"/>
    <w:rsid w:val="002A055E"/>
    <w:rsid w:val="002A1D4E"/>
    <w:rsid w:val="002A2869"/>
    <w:rsid w:val="002A5DD9"/>
    <w:rsid w:val="002A7C7D"/>
    <w:rsid w:val="002B17BB"/>
    <w:rsid w:val="002B24D6"/>
    <w:rsid w:val="002B4CE0"/>
    <w:rsid w:val="002B626A"/>
    <w:rsid w:val="002C4191"/>
    <w:rsid w:val="002C41E6"/>
    <w:rsid w:val="002D071A"/>
    <w:rsid w:val="002D34B2"/>
    <w:rsid w:val="002D48B0"/>
    <w:rsid w:val="002D5B37"/>
    <w:rsid w:val="002D61D3"/>
    <w:rsid w:val="002D7637"/>
    <w:rsid w:val="002E108D"/>
    <w:rsid w:val="002E17F2"/>
    <w:rsid w:val="002E7CAE"/>
    <w:rsid w:val="002F2771"/>
    <w:rsid w:val="002F37A9"/>
    <w:rsid w:val="002F511C"/>
    <w:rsid w:val="00301CE6"/>
    <w:rsid w:val="0030256B"/>
    <w:rsid w:val="0030501F"/>
    <w:rsid w:val="00307BA1"/>
    <w:rsid w:val="00311702"/>
    <w:rsid w:val="00311E82"/>
    <w:rsid w:val="00313FD6"/>
    <w:rsid w:val="003143BD"/>
    <w:rsid w:val="00315363"/>
    <w:rsid w:val="003203ED"/>
    <w:rsid w:val="00322C9F"/>
    <w:rsid w:val="00324D23"/>
    <w:rsid w:val="003268D9"/>
    <w:rsid w:val="003308CF"/>
    <w:rsid w:val="00331751"/>
    <w:rsid w:val="00334579"/>
    <w:rsid w:val="00335858"/>
    <w:rsid w:val="0033663D"/>
    <w:rsid w:val="00336BDA"/>
    <w:rsid w:val="00342BD7"/>
    <w:rsid w:val="00346DB5"/>
    <w:rsid w:val="003477B1"/>
    <w:rsid w:val="00350747"/>
    <w:rsid w:val="0035271C"/>
    <w:rsid w:val="003539A9"/>
    <w:rsid w:val="00357380"/>
    <w:rsid w:val="003602D9"/>
    <w:rsid w:val="003604CE"/>
    <w:rsid w:val="0036283C"/>
    <w:rsid w:val="003663C5"/>
    <w:rsid w:val="00366E7C"/>
    <w:rsid w:val="00367151"/>
    <w:rsid w:val="0037011E"/>
    <w:rsid w:val="00370169"/>
    <w:rsid w:val="00370E47"/>
    <w:rsid w:val="0037142A"/>
    <w:rsid w:val="003742AC"/>
    <w:rsid w:val="00374ABA"/>
    <w:rsid w:val="00377CE1"/>
    <w:rsid w:val="00385BF0"/>
    <w:rsid w:val="0039094C"/>
    <w:rsid w:val="00393746"/>
    <w:rsid w:val="003939FF"/>
    <w:rsid w:val="003940EB"/>
    <w:rsid w:val="003953E4"/>
    <w:rsid w:val="003A2223"/>
    <w:rsid w:val="003A2441"/>
    <w:rsid w:val="003A2A0F"/>
    <w:rsid w:val="003A45A1"/>
    <w:rsid w:val="003A4929"/>
    <w:rsid w:val="003A559F"/>
    <w:rsid w:val="003A5B0A"/>
    <w:rsid w:val="003A6BAC"/>
    <w:rsid w:val="003A70A4"/>
    <w:rsid w:val="003A7EF3"/>
    <w:rsid w:val="003B099B"/>
    <w:rsid w:val="003B159C"/>
    <w:rsid w:val="003B248A"/>
    <w:rsid w:val="003B369F"/>
    <w:rsid w:val="003B36A3"/>
    <w:rsid w:val="003B64BB"/>
    <w:rsid w:val="003B7388"/>
    <w:rsid w:val="003B7FE5"/>
    <w:rsid w:val="003C02B7"/>
    <w:rsid w:val="003C11C8"/>
    <w:rsid w:val="003C2702"/>
    <w:rsid w:val="003C6F0A"/>
    <w:rsid w:val="003C7806"/>
    <w:rsid w:val="003D109F"/>
    <w:rsid w:val="003D1297"/>
    <w:rsid w:val="003D2478"/>
    <w:rsid w:val="003D3C45"/>
    <w:rsid w:val="003D4C48"/>
    <w:rsid w:val="003D5B1F"/>
    <w:rsid w:val="003D737A"/>
    <w:rsid w:val="003E15FA"/>
    <w:rsid w:val="003E55E4"/>
    <w:rsid w:val="003E6476"/>
    <w:rsid w:val="003E67E8"/>
    <w:rsid w:val="003E74E3"/>
    <w:rsid w:val="003F05C7"/>
    <w:rsid w:val="003F25C2"/>
    <w:rsid w:val="003F2CD4"/>
    <w:rsid w:val="003F6BBE"/>
    <w:rsid w:val="003F6EB9"/>
    <w:rsid w:val="004000E8"/>
    <w:rsid w:val="00402E2B"/>
    <w:rsid w:val="0040512B"/>
    <w:rsid w:val="00405CA5"/>
    <w:rsid w:val="004072B4"/>
    <w:rsid w:val="00407CD3"/>
    <w:rsid w:val="00410134"/>
    <w:rsid w:val="00410B72"/>
    <w:rsid w:val="00410F18"/>
    <w:rsid w:val="0041263E"/>
    <w:rsid w:val="00413AAC"/>
    <w:rsid w:val="00413E92"/>
    <w:rsid w:val="00416222"/>
    <w:rsid w:val="00421105"/>
    <w:rsid w:val="00422AA4"/>
    <w:rsid w:val="004242F4"/>
    <w:rsid w:val="0042447A"/>
    <w:rsid w:val="00424EEA"/>
    <w:rsid w:val="0042682F"/>
    <w:rsid w:val="00427248"/>
    <w:rsid w:val="00427E1F"/>
    <w:rsid w:val="00432287"/>
    <w:rsid w:val="004351C2"/>
    <w:rsid w:val="00437447"/>
    <w:rsid w:val="00441A92"/>
    <w:rsid w:val="004431DC"/>
    <w:rsid w:val="00443EB3"/>
    <w:rsid w:val="00444F56"/>
    <w:rsid w:val="00446488"/>
    <w:rsid w:val="004517AA"/>
    <w:rsid w:val="00452B59"/>
    <w:rsid w:val="00452CAC"/>
    <w:rsid w:val="004552EF"/>
    <w:rsid w:val="00457565"/>
    <w:rsid w:val="00457944"/>
    <w:rsid w:val="00457B71"/>
    <w:rsid w:val="00461D09"/>
    <w:rsid w:val="00464541"/>
    <w:rsid w:val="004669E2"/>
    <w:rsid w:val="00470C31"/>
    <w:rsid w:val="00471DE0"/>
    <w:rsid w:val="00472CF3"/>
    <w:rsid w:val="004734D0"/>
    <w:rsid w:val="00474A80"/>
    <w:rsid w:val="0047556B"/>
    <w:rsid w:val="00476D66"/>
    <w:rsid w:val="00477768"/>
    <w:rsid w:val="00483E23"/>
    <w:rsid w:val="00485E45"/>
    <w:rsid w:val="00492BC5"/>
    <w:rsid w:val="0049386A"/>
    <w:rsid w:val="004964F1"/>
    <w:rsid w:val="004A16BC"/>
    <w:rsid w:val="004A2B94"/>
    <w:rsid w:val="004A3100"/>
    <w:rsid w:val="004A3E17"/>
    <w:rsid w:val="004A4B95"/>
    <w:rsid w:val="004B2D6E"/>
    <w:rsid w:val="004B6F6A"/>
    <w:rsid w:val="004B79D1"/>
    <w:rsid w:val="004B7C0C"/>
    <w:rsid w:val="004C09BF"/>
    <w:rsid w:val="004C23E2"/>
    <w:rsid w:val="004C2E0A"/>
    <w:rsid w:val="004C3898"/>
    <w:rsid w:val="004C3FF0"/>
    <w:rsid w:val="004C6C7D"/>
    <w:rsid w:val="004C7B85"/>
    <w:rsid w:val="004D00D9"/>
    <w:rsid w:val="004D19E1"/>
    <w:rsid w:val="004D36B1"/>
    <w:rsid w:val="004D3D87"/>
    <w:rsid w:val="004D7EBD"/>
    <w:rsid w:val="004E13A0"/>
    <w:rsid w:val="004E2680"/>
    <w:rsid w:val="004E28F9"/>
    <w:rsid w:val="004E462E"/>
    <w:rsid w:val="004E56DC"/>
    <w:rsid w:val="004E5D8D"/>
    <w:rsid w:val="004E5DA6"/>
    <w:rsid w:val="004E76F4"/>
    <w:rsid w:val="004F0B4E"/>
    <w:rsid w:val="004F0B6C"/>
    <w:rsid w:val="004F2078"/>
    <w:rsid w:val="004F24D8"/>
    <w:rsid w:val="004F24DF"/>
    <w:rsid w:val="004F4124"/>
    <w:rsid w:val="004F4DA3"/>
    <w:rsid w:val="004F7CF3"/>
    <w:rsid w:val="005029D7"/>
    <w:rsid w:val="00506557"/>
    <w:rsid w:val="0050669E"/>
    <w:rsid w:val="0050677A"/>
    <w:rsid w:val="00506FB2"/>
    <w:rsid w:val="005108D8"/>
    <w:rsid w:val="00510F51"/>
    <w:rsid w:val="005116F9"/>
    <w:rsid w:val="00514158"/>
    <w:rsid w:val="005153A7"/>
    <w:rsid w:val="00516BAB"/>
    <w:rsid w:val="005219CF"/>
    <w:rsid w:val="00525EBA"/>
    <w:rsid w:val="00527356"/>
    <w:rsid w:val="00527D18"/>
    <w:rsid w:val="00531CA4"/>
    <w:rsid w:val="0053334B"/>
    <w:rsid w:val="005341B3"/>
    <w:rsid w:val="00534B59"/>
    <w:rsid w:val="00535D1D"/>
    <w:rsid w:val="00536034"/>
    <w:rsid w:val="005360F9"/>
    <w:rsid w:val="00536759"/>
    <w:rsid w:val="00536E0C"/>
    <w:rsid w:val="00537650"/>
    <w:rsid w:val="00537C62"/>
    <w:rsid w:val="00541432"/>
    <w:rsid w:val="00546970"/>
    <w:rsid w:val="00553772"/>
    <w:rsid w:val="00554E19"/>
    <w:rsid w:val="00556028"/>
    <w:rsid w:val="005565C7"/>
    <w:rsid w:val="0056121F"/>
    <w:rsid w:val="00565FFB"/>
    <w:rsid w:val="00566F7D"/>
    <w:rsid w:val="00572505"/>
    <w:rsid w:val="005747C5"/>
    <w:rsid w:val="005757DC"/>
    <w:rsid w:val="00577D77"/>
    <w:rsid w:val="00582809"/>
    <w:rsid w:val="0058798C"/>
    <w:rsid w:val="005900FA"/>
    <w:rsid w:val="005904DC"/>
    <w:rsid w:val="00592655"/>
    <w:rsid w:val="00592B5A"/>
    <w:rsid w:val="005935A4"/>
    <w:rsid w:val="005948C2"/>
    <w:rsid w:val="00595DCA"/>
    <w:rsid w:val="0059779B"/>
    <w:rsid w:val="005A209A"/>
    <w:rsid w:val="005A662D"/>
    <w:rsid w:val="005B1409"/>
    <w:rsid w:val="005B2001"/>
    <w:rsid w:val="005B35D7"/>
    <w:rsid w:val="005B392A"/>
    <w:rsid w:val="005B3AA3"/>
    <w:rsid w:val="005B6562"/>
    <w:rsid w:val="005B6F83"/>
    <w:rsid w:val="005C0275"/>
    <w:rsid w:val="005C11B7"/>
    <w:rsid w:val="005C3081"/>
    <w:rsid w:val="005C33DA"/>
    <w:rsid w:val="005C4F3E"/>
    <w:rsid w:val="005C74FB"/>
    <w:rsid w:val="005D1602"/>
    <w:rsid w:val="005D4FDF"/>
    <w:rsid w:val="005E1A5E"/>
    <w:rsid w:val="005E2B17"/>
    <w:rsid w:val="005E385F"/>
    <w:rsid w:val="005E5632"/>
    <w:rsid w:val="005E5B81"/>
    <w:rsid w:val="005E6B4D"/>
    <w:rsid w:val="005F2CB1"/>
    <w:rsid w:val="005F3025"/>
    <w:rsid w:val="005F618C"/>
    <w:rsid w:val="005F70BD"/>
    <w:rsid w:val="00601C5A"/>
    <w:rsid w:val="0060283C"/>
    <w:rsid w:val="00604F14"/>
    <w:rsid w:val="00611B83"/>
    <w:rsid w:val="00613257"/>
    <w:rsid w:val="00613726"/>
    <w:rsid w:val="00614E33"/>
    <w:rsid w:val="00620A71"/>
    <w:rsid w:val="00620D80"/>
    <w:rsid w:val="00623024"/>
    <w:rsid w:val="006234A6"/>
    <w:rsid w:val="00630001"/>
    <w:rsid w:val="006311B3"/>
    <w:rsid w:val="006326F4"/>
    <w:rsid w:val="0063284C"/>
    <w:rsid w:val="00633099"/>
    <w:rsid w:val="00636398"/>
    <w:rsid w:val="006363E9"/>
    <w:rsid w:val="006368D3"/>
    <w:rsid w:val="006377EC"/>
    <w:rsid w:val="0064151F"/>
    <w:rsid w:val="00641533"/>
    <w:rsid w:val="0064208D"/>
    <w:rsid w:val="00642296"/>
    <w:rsid w:val="0064289B"/>
    <w:rsid w:val="00643475"/>
    <w:rsid w:val="0064396A"/>
    <w:rsid w:val="0064624E"/>
    <w:rsid w:val="006500B6"/>
    <w:rsid w:val="00650AB9"/>
    <w:rsid w:val="00655598"/>
    <w:rsid w:val="00655733"/>
    <w:rsid w:val="00655ACD"/>
    <w:rsid w:val="006560AB"/>
    <w:rsid w:val="00656A92"/>
    <w:rsid w:val="00656DDE"/>
    <w:rsid w:val="00657C88"/>
    <w:rsid w:val="0066011D"/>
    <w:rsid w:val="0066020F"/>
    <w:rsid w:val="006607C0"/>
    <w:rsid w:val="00660E04"/>
    <w:rsid w:val="0066101D"/>
    <w:rsid w:val="006613A6"/>
    <w:rsid w:val="006619C4"/>
    <w:rsid w:val="006627A2"/>
    <w:rsid w:val="006634E6"/>
    <w:rsid w:val="006655EE"/>
    <w:rsid w:val="00667EE7"/>
    <w:rsid w:val="00670922"/>
    <w:rsid w:val="00670BE1"/>
    <w:rsid w:val="0067218F"/>
    <w:rsid w:val="0067296C"/>
    <w:rsid w:val="006741F2"/>
    <w:rsid w:val="00674CC3"/>
    <w:rsid w:val="00675C72"/>
    <w:rsid w:val="006771F9"/>
    <w:rsid w:val="006776D7"/>
    <w:rsid w:val="00680ADD"/>
    <w:rsid w:val="00681003"/>
    <w:rsid w:val="006817C9"/>
    <w:rsid w:val="00683732"/>
    <w:rsid w:val="00683ECE"/>
    <w:rsid w:val="00685D5E"/>
    <w:rsid w:val="00691E4F"/>
    <w:rsid w:val="00695FC2"/>
    <w:rsid w:val="00696949"/>
    <w:rsid w:val="00696D10"/>
    <w:rsid w:val="00697052"/>
    <w:rsid w:val="006A46FB"/>
    <w:rsid w:val="006A4CDF"/>
    <w:rsid w:val="006A5A3D"/>
    <w:rsid w:val="006A5A57"/>
    <w:rsid w:val="006A5E28"/>
    <w:rsid w:val="006A697B"/>
    <w:rsid w:val="006A7AFF"/>
    <w:rsid w:val="006B168D"/>
    <w:rsid w:val="006B1816"/>
    <w:rsid w:val="006B2099"/>
    <w:rsid w:val="006B50CF"/>
    <w:rsid w:val="006B7F8F"/>
    <w:rsid w:val="006C03B8"/>
    <w:rsid w:val="006C2445"/>
    <w:rsid w:val="006C5EC9"/>
    <w:rsid w:val="006C6059"/>
    <w:rsid w:val="006C7522"/>
    <w:rsid w:val="006D30C0"/>
    <w:rsid w:val="006D500E"/>
    <w:rsid w:val="006D598E"/>
    <w:rsid w:val="006D6F08"/>
    <w:rsid w:val="006E062C"/>
    <w:rsid w:val="006E1A56"/>
    <w:rsid w:val="006E1C82"/>
    <w:rsid w:val="006E28B7"/>
    <w:rsid w:val="006E2A9B"/>
    <w:rsid w:val="006E3310"/>
    <w:rsid w:val="006E4E39"/>
    <w:rsid w:val="006E565E"/>
    <w:rsid w:val="006E673D"/>
    <w:rsid w:val="006E7D3B"/>
    <w:rsid w:val="006F1B70"/>
    <w:rsid w:val="006F341D"/>
    <w:rsid w:val="006F3CDE"/>
    <w:rsid w:val="006F3D5F"/>
    <w:rsid w:val="006F54D8"/>
    <w:rsid w:val="006F58D4"/>
    <w:rsid w:val="006F6582"/>
    <w:rsid w:val="006F7557"/>
    <w:rsid w:val="00703270"/>
    <w:rsid w:val="007032F3"/>
    <w:rsid w:val="0070346E"/>
    <w:rsid w:val="00704EDB"/>
    <w:rsid w:val="00706101"/>
    <w:rsid w:val="00706E76"/>
    <w:rsid w:val="00707072"/>
    <w:rsid w:val="00707D61"/>
    <w:rsid w:val="00712287"/>
    <w:rsid w:val="00712772"/>
    <w:rsid w:val="00714163"/>
    <w:rsid w:val="007148D3"/>
    <w:rsid w:val="00715B9A"/>
    <w:rsid w:val="00715EB1"/>
    <w:rsid w:val="007171CB"/>
    <w:rsid w:val="0072575A"/>
    <w:rsid w:val="007257D0"/>
    <w:rsid w:val="0072603B"/>
    <w:rsid w:val="00726EA6"/>
    <w:rsid w:val="00727208"/>
    <w:rsid w:val="007272AE"/>
    <w:rsid w:val="00727680"/>
    <w:rsid w:val="007348B1"/>
    <w:rsid w:val="007362A6"/>
    <w:rsid w:val="00736D7D"/>
    <w:rsid w:val="007372F7"/>
    <w:rsid w:val="00740A74"/>
    <w:rsid w:val="00740E58"/>
    <w:rsid w:val="007435F5"/>
    <w:rsid w:val="007445A0"/>
    <w:rsid w:val="00744B18"/>
    <w:rsid w:val="0074524B"/>
    <w:rsid w:val="00747D8B"/>
    <w:rsid w:val="00751228"/>
    <w:rsid w:val="00751B9E"/>
    <w:rsid w:val="00752B37"/>
    <w:rsid w:val="00753988"/>
    <w:rsid w:val="00754F6E"/>
    <w:rsid w:val="007571E1"/>
    <w:rsid w:val="007604B2"/>
    <w:rsid w:val="007610F5"/>
    <w:rsid w:val="00765281"/>
    <w:rsid w:val="00765C5F"/>
    <w:rsid w:val="0076679B"/>
    <w:rsid w:val="00766BAD"/>
    <w:rsid w:val="007729A2"/>
    <w:rsid w:val="007755F2"/>
    <w:rsid w:val="00776971"/>
    <w:rsid w:val="00780A80"/>
    <w:rsid w:val="0078177E"/>
    <w:rsid w:val="0078304C"/>
    <w:rsid w:val="00783673"/>
    <w:rsid w:val="00785490"/>
    <w:rsid w:val="007925EA"/>
    <w:rsid w:val="00793485"/>
    <w:rsid w:val="007935CC"/>
    <w:rsid w:val="00793CD8"/>
    <w:rsid w:val="00795C92"/>
    <w:rsid w:val="00796231"/>
    <w:rsid w:val="007A196C"/>
    <w:rsid w:val="007A1A47"/>
    <w:rsid w:val="007A1CB3"/>
    <w:rsid w:val="007A306F"/>
    <w:rsid w:val="007A43A6"/>
    <w:rsid w:val="007A4F3E"/>
    <w:rsid w:val="007A58A6"/>
    <w:rsid w:val="007A696F"/>
    <w:rsid w:val="007A7AEB"/>
    <w:rsid w:val="007A7C23"/>
    <w:rsid w:val="007B3D2D"/>
    <w:rsid w:val="007B50AE"/>
    <w:rsid w:val="007B51DF"/>
    <w:rsid w:val="007C05DD"/>
    <w:rsid w:val="007C0B91"/>
    <w:rsid w:val="007C3930"/>
    <w:rsid w:val="007C3D18"/>
    <w:rsid w:val="007C60BF"/>
    <w:rsid w:val="007C6A07"/>
    <w:rsid w:val="007C75A1"/>
    <w:rsid w:val="007C77A5"/>
    <w:rsid w:val="007D04E5"/>
    <w:rsid w:val="007D5901"/>
    <w:rsid w:val="007D7526"/>
    <w:rsid w:val="007D754C"/>
    <w:rsid w:val="007E1C66"/>
    <w:rsid w:val="007E22F1"/>
    <w:rsid w:val="007E4610"/>
    <w:rsid w:val="007E4715"/>
    <w:rsid w:val="007E505B"/>
    <w:rsid w:val="007E7091"/>
    <w:rsid w:val="007E7D86"/>
    <w:rsid w:val="00803FAE"/>
    <w:rsid w:val="0080605F"/>
    <w:rsid w:val="00807786"/>
    <w:rsid w:val="0080780F"/>
    <w:rsid w:val="00811FCB"/>
    <w:rsid w:val="0081328B"/>
    <w:rsid w:val="00814C7B"/>
    <w:rsid w:val="008158D6"/>
    <w:rsid w:val="00817196"/>
    <w:rsid w:val="008235DB"/>
    <w:rsid w:val="00824AB4"/>
    <w:rsid w:val="00825C42"/>
    <w:rsid w:val="00825D25"/>
    <w:rsid w:val="008265CA"/>
    <w:rsid w:val="00827D6F"/>
    <w:rsid w:val="00832FCB"/>
    <w:rsid w:val="0083544E"/>
    <w:rsid w:val="008376AC"/>
    <w:rsid w:val="00843099"/>
    <w:rsid w:val="008444E8"/>
    <w:rsid w:val="00844E80"/>
    <w:rsid w:val="00846FE7"/>
    <w:rsid w:val="00852E65"/>
    <w:rsid w:val="0085584B"/>
    <w:rsid w:val="008561EE"/>
    <w:rsid w:val="00856911"/>
    <w:rsid w:val="0085765F"/>
    <w:rsid w:val="00864D6A"/>
    <w:rsid w:val="008677FD"/>
    <w:rsid w:val="00867DA6"/>
    <w:rsid w:val="008706D4"/>
    <w:rsid w:val="00870F8A"/>
    <w:rsid w:val="008719A4"/>
    <w:rsid w:val="00871D23"/>
    <w:rsid w:val="00871FA5"/>
    <w:rsid w:val="00873429"/>
    <w:rsid w:val="00874312"/>
    <w:rsid w:val="0087437C"/>
    <w:rsid w:val="00875CD7"/>
    <w:rsid w:val="00876B4D"/>
    <w:rsid w:val="00877F18"/>
    <w:rsid w:val="00883350"/>
    <w:rsid w:val="00886E66"/>
    <w:rsid w:val="00887048"/>
    <w:rsid w:val="00893D97"/>
    <w:rsid w:val="008941E3"/>
    <w:rsid w:val="00894A88"/>
    <w:rsid w:val="00895386"/>
    <w:rsid w:val="00896E41"/>
    <w:rsid w:val="0089753A"/>
    <w:rsid w:val="008A21FF"/>
    <w:rsid w:val="008A2CE2"/>
    <w:rsid w:val="008A30AC"/>
    <w:rsid w:val="008A44B8"/>
    <w:rsid w:val="008A51A8"/>
    <w:rsid w:val="008A54C7"/>
    <w:rsid w:val="008A77D8"/>
    <w:rsid w:val="008B0483"/>
    <w:rsid w:val="008B120C"/>
    <w:rsid w:val="008B3851"/>
    <w:rsid w:val="008B3EC7"/>
    <w:rsid w:val="008B51A0"/>
    <w:rsid w:val="008B592A"/>
    <w:rsid w:val="008B6BD0"/>
    <w:rsid w:val="008B709D"/>
    <w:rsid w:val="008B7B5C"/>
    <w:rsid w:val="008C0C99"/>
    <w:rsid w:val="008C2017"/>
    <w:rsid w:val="008C3E1C"/>
    <w:rsid w:val="008C4958"/>
    <w:rsid w:val="008C4BAA"/>
    <w:rsid w:val="008C6AE8"/>
    <w:rsid w:val="008C7573"/>
    <w:rsid w:val="008D00A5"/>
    <w:rsid w:val="008D34F1"/>
    <w:rsid w:val="008D3996"/>
    <w:rsid w:val="008D39D8"/>
    <w:rsid w:val="008D3A35"/>
    <w:rsid w:val="008D5229"/>
    <w:rsid w:val="008D6D1A"/>
    <w:rsid w:val="008E0215"/>
    <w:rsid w:val="008E065E"/>
    <w:rsid w:val="008E0927"/>
    <w:rsid w:val="008E1909"/>
    <w:rsid w:val="008E49F7"/>
    <w:rsid w:val="008E79F7"/>
    <w:rsid w:val="008F1C4E"/>
    <w:rsid w:val="008F1EAB"/>
    <w:rsid w:val="008F32ED"/>
    <w:rsid w:val="008F334B"/>
    <w:rsid w:val="008F33DC"/>
    <w:rsid w:val="008F477F"/>
    <w:rsid w:val="00902350"/>
    <w:rsid w:val="00902CAF"/>
    <w:rsid w:val="0090336B"/>
    <w:rsid w:val="009053AA"/>
    <w:rsid w:val="00906939"/>
    <w:rsid w:val="00910B7D"/>
    <w:rsid w:val="00911DFB"/>
    <w:rsid w:val="009139D9"/>
    <w:rsid w:val="00914AD8"/>
    <w:rsid w:val="00916079"/>
    <w:rsid w:val="00917CE9"/>
    <w:rsid w:val="00920BF2"/>
    <w:rsid w:val="00921463"/>
    <w:rsid w:val="00922010"/>
    <w:rsid w:val="00931BD9"/>
    <w:rsid w:val="009368F3"/>
    <w:rsid w:val="00937D5E"/>
    <w:rsid w:val="00941636"/>
    <w:rsid w:val="00943742"/>
    <w:rsid w:val="00945842"/>
    <w:rsid w:val="00945C05"/>
    <w:rsid w:val="00946945"/>
    <w:rsid w:val="00947713"/>
    <w:rsid w:val="009509D6"/>
    <w:rsid w:val="00950DE7"/>
    <w:rsid w:val="00951D0E"/>
    <w:rsid w:val="00953920"/>
    <w:rsid w:val="00953D47"/>
    <w:rsid w:val="00955BFF"/>
    <w:rsid w:val="0095620F"/>
    <w:rsid w:val="0095681E"/>
    <w:rsid w:val="009572D4"/>
    <w:rsid w:val="00961921"/>
    <w:rsid w:val="0096386C"/>
    <w:rsid w:val="0096430A"/>
    <w:rsid w:val="0096554B"/>
    <w:rsid w:val="0096584A"/>
    <w:rsid w:val="00971F08"/>
    <w:rsid w:val="00975827"/>
    <w:rsid w:val="0097603D"/>
    <w:rsid w:val="00976949"/>
    <w:rsid w:val="00976F50"/>
    <w:rsid w:val="00976F9E"/>
    <w:rsid w:val="00977E29"/>
    <w:rsid w:val="00980477"/>
    <w:rsid w:val="00985253"/>
    <w:rsid w:val="009853B3"/>
    <w:rsid w:val="00985AF9"/>
    <w:rsid w:val="00990630"/>
    <w:rsid w:val="00991761"/>
    <w:rsid w:val="00994B1D"/>
    <w:rsid w:val="00994DCA"/>
    <w:rsid w:val="00995803"/>
    <w:rsid w:val="009960EC"/>
    <w:rsid w:val="009970DD"/>
    <w:rsid w:val="009A0FBA"/>
    <w:rsid w:val="009A1601"/>
    <w:rsid w:val="009A375C"/>
    <w:rsid w:val="009A3BB6"/>
    <w:rsid w:val="009A462D"/>
    <w:rsid w:val="009A5CBA"/>
    <w:rsid w:val="009A66E9"/>
    <w:rsid w:val="009B1F30"/>
    <w:rsid w:val="009B3AC2"/>
    <w:rsid w:val="009B4DF4"/>
    <w:rsid w:val="009B564E"/>
    <w:rsid w:val="009B7E87"/>
    <w:rsid w:val="009C0169"/>
    <w:rsid w:val="009C09BC"/>
    <w:rsid w:val="009C403E"/>
    <w:rsid w:val="009C542E"/>
    <w:rsid w:val="009C66C4"/>
    <w:rsid w:val="009C7666"/>
    <w:rsid w:val="009D433D"/>
    <w:rsid w:val="009D4495"/>
    <w:rsid w:val="009D4FF0"/>
    <w:rsid w:val="009D703C"/>
    <w:rsid w:val="009D718F"/>
    <w:rsid w:val="009E068F"/>
    <w:rsid w:val="009E14E0"/>
    <w:rsid w:val="009E35DB"/>
    <w:rsid w:val="009E47A3"/>
    <w:rsid w:val="009F08F3"/>
    <w:rsid w:val="009F344F"/>
    <w:rsid w:val="009F3591"/>
    <w:rsid w:val="009F35A0"/>
    <w:rsid w:val="009F759F"/>
    <w:rsid w:val="00A0104A"/>
    <w:rsid w:val="00A031D8"/>
    <w:rsid w:val="00A048A8"/>
    <w:rsid w:val="00A04F49"/>
    <w:rsid w:val="00A1039A"/>
    <w:rsid w:val="00A106D1"/>
    <w:rsid w:val="00A13E54"/>
    <w:rsid w:val="00A1400F"/>
    <w:rsid w:val="00A17F63"/>
    <w:rsid w:val="00A2193B"/>
    <w:rsid w:val="00A2268A"/>
    <w:rsid w:val="00A232C4"/>
    <w:rsid w:val="00A2351A"/>
    <w:rsid w:val="00A264A9"/>
    <w:rsid w:val="00A26DCF"/>
    <w:rsid w:val="00A27361"/>
    <w:rsid w:val="00A27785"/>
    <w:rsid w:val="00A30187"/>
    <w:rsid w:val="00A30334"/>
    <w:rsid w:val="00A3448A"/>
    <w:rsid w:val="00A34B4E"/>
    <w:rsid w:val="00A360F7"/>
    <w:rsid w:val="00A36297"/>
    <w:rsid w:val="00A3644C"/>
    <w:rsid w:val="00A40170"/>
    <w:rsid w:val="00A41E2B"/>
    <w:rsid w:val="00A45B74"/>
    <w:rsid w:val="00A50470"/>
    <w:rsid w:val="00A529F5"/>
    <w:rsid w:val="00A52E1D"/>
    <w:rsid w:val="00A54296"/>
    <w:rsid w:val="00A61499"/>
    <w:rsid w:val="00A62A77"/>
    <w:rsid w:val="00A62C0F"/>
    <w:rsid w:val="00A63483"/>
    <w:rsid w:val="00A657D7"/>
    <w:rsid w:val="00A65B44"/>
    <w:rsid w:val="00A660AC"/>
    <w:rsid w:val="00A67661"/>
    <w:rsid w:val="00A67E6C"/>
    <w:rsid w:val="00A71B99"/>
    <w:rsid w:val="00A72022"/>
    <w:rsid w:val="00A739D0"/>
    <w:rsid w:val="00A761D4"/>
    <w:rsid w:val="00A765A2"/>
    <w:rsid w:val="00A77EC4"/>
    <w:rsid w:val="00A8688F"/>
    <w:rsid w:val="00A91AB3"/>
    <w:rsid w:val="00A921BC"/>
    <w:rsid w:val="00A92879"/>
    <w:rsid w:val="00A9442A"/>
    <w:rsid w:val="00A954A1"/>
    <w:rsid w:val="00AA016F"/>
    <w:rsid w:val="00AA05E9"/>
    <w:rsid w:val="00AA06EF"/>
    <w:rsid w:val="00AA1ED6"/>
    <w:rsid w:val="00AA33A2"/>
    <w:rsid w:val="00AA3A33"/>
    <w:rsid w:val="00AA51D6"/>
    <w:rsid w:val="00AB0BC8"/>
    <w:rsid w:val="00AB11CA"/>
    <w:rsid w:val="00AB14D9"/>
    <w:rsid w:val="00AB4AB8"/>
    <w:rsid w:val="00AB655E"/>
    <w:rsid w:val="00AC007F"/>
    <w:rsid w:val="00AC2546"/>
    <w:rsid w:val="00AC2ECD"/>
    <w:rsid w:val="00AC3119"/>
    <w:rsid w:val="00AC49FB"/>
    <w:rsid w:val="00AC4FC0"/>
    <w:rsid w:val="00AC566B"/>
    <w:rsid w:val="00AC5A10"/>
    <w:rsid w:val="00AC7032"/>
    <w:rsid w:val="00AC73DE"/>
    <w:rsid w:val="00AD0AA3"/>
    <w:rsid w:val="00AD159E"/>
    <w:rsid w:val="00AD2ED0"/>
    <w:rsid w:val="00AD3F94"/>
    <w:rsid w:val="00AD4A5A"/>
    <w:rsid w:val="00AD5163"/>
    <w:rsid w:val="00AE108E"/>
    <w:rsid w:val="00AE27AC"/>
    <w:rsid w:val="00AE40E0"/>
    <w:rsid w:val="00AE419B"/>
    <w:rsid w:val="00AE4D1A"/>
    <w:rsid w:val="00AE4DBA"/>
    <w:rsid w:val="00AE4F07"/>
    <w:rsid w:val="00AE5F3F"/>
    <w:rsid w:val="00AE6BDB"/>
    <w:rsid w:val="00AF1C5D"/>
    <w:rsid w:val="00AF30B2"/>
    <w:rsid w:val="00AF42D7"/>
    <w:rsid w:val="00B006FE"/>
    <w:rsid w:val="00B007CB"/>
    <w:rsid w:val="00B02609"/>
    <w:rsid w:val="00B02AA9"/>
    <w:rsid w:val="00B02FA3"/>
    <w:rsid w:val="00B039D8"/>
    <w:rsid w:val="00B04D7B"/>
    <w:rsid w:val="00B05084"/>
    <w:rsid w:val="00B05186"/>
    <w:rsid w:val="00B10D5F"/>
    <w:rsid w:val="00B13761"/>
    <w:rsid w:val="00B14120"/>
    <w:rsid w:val="00B157F9"/>
    <w:rsid w:val="00B20256"/>
    <w:rsid w:val="00B20D09"/>
    <w:rsid w:val="00B2763F"/>
    <w:rsid w:val="00B27AAC"/>
    <w:rsid w:val="00B30929"/>
    <w:rsid w:val="00B35C00"/>
    <w:rsid w:val="00B372AA"/>
    <w:rsid w:val="00B40445"/>
    <w:rsid w:val="00B409E0"/>
    <w:rsid w:val="00B41888"/>
    <w:rsid w:val="00B45355"/>
    <w:rsid w:val="00B45A52"/>
    <w:rsid w:val="00B45BF8"/>
    <w:rsid w:val="00B45E11"/>
    <w:rsid w:val="00B46175"/>
    <w:rsid w:val="00B4724A"/>
    <w:rsid w:val="00B548B7"/>
    <w:rsid w:val="00B567B0"/>
    <w:rsid w:val="00B664C7"/>
    <w:rsid w:val="00B700BD"/>
    <w:rsid w:val="00B72EB2"/>
    <w:rsid w:val="00B739F6"/>
    <w:rsid w:val="00B74756"/>
    <w:rsid w:val="00B81A6C"/>
    <w:rsid w:val="00B84D97"/>
    <w:rsid w:val="00B8533E"/>
    <w:rsid w:val="00B85DE5"/>
    <w:rsid w:val="00B87044"/>
    <w:rsid w:val="00B8782E"/>
    <w:rsid w:val="00B87EE3"/>
    <w:rsid w:val="00B90F73"/>
    <w:rsid w:val="00B93B59"/>
    <w:rsid w:val="00B93C42"/>
    <w:rsid w:val="00B9406A"/>
    <w:rsid w:val="00B9482D"/>
    <w:rsid w:val="00B97482"/>
    <w:rsid w:val="00B97DC8"/>
    <w:rsid w:val="00BA2280"/>
    <w:rsid w:val="00BA2A08"/>
    <w:rsid w:val="00BA434A"/>
    <w:rsid w:val="00BA4778"/>
    <w:rsid w:val="00BA56D2"/>
    <w:rsid w:val="00BA6F46"/>
    <w:rsid w:val="00BA76E0"/>
    <w:rsid w:val="00BB0144"/>
    <w:rsid w:val="00BB1C7F"/>
    <w:rsid w:val="00BB2A25"/>
    <w:rsid w:val="00BB3F53"/>
    <w:rsid w:val="00BB51E9"/>
    <w:rsid w:val="00BB5ED2"/>
    <w:rsid w:val="00BB6A40"/>
    <w:rsid w:val="00BC0FDC"/>
    <w:rsid w:val="00BC2DC2"/>
    <w:rsid w:val="00BC3053"/>
    <w:rsid w:val="00BC4D2E"/>
    <w:rsid w:val="00BD0B8D"/>
    <w:rsid w:val="00BD1709"/>
    <w:rsid w:val="00BD48AC"/>
    <w:rsid w:val="00BD5F1A"/>
    <w:rsid w:val="00BD62E2"/>
    <w:rsid w:val="00BE1234"/>
    <w:rsid w:val="00BE1D8A"/>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142C"/>
    <w:rsid w:val="00C12107"/>
    <w:rsid w:val="00C14D4B"/>
    <w:rsid w:val="00C154BB"/>
    <w:rsid w:val="00C15895"/>
    <w:rsid w:val="00C177B9"/>
    <w:rsid w:val="00C21261"/>
    <w:rsid w:val="00C2297C"/>
    <w:rsid w:val="00C279B5"/>
    <w:rsid w:val="00C27C45"/>
    <w:rsid w:val="00C3719D"/>
    <w:rsid w:val="00C37CB2"/>
    <w:rsid w:val="00C473A5"/>
    <w:rsid w:val="00C54995"/>
    <w:rsid w:val="00C54D41"/>
    <w:rsid w:val="00C57622"/>
    <w:rsid w:val="00C60783"/>
    <w:rsid w:val="00C64672"/>
    <w:rsid w:val="00C64FEF"/>
    <w:rsid w:val="00C66DA4"/>
    <w:rsid w:val="00C70697"/>
    <w:rsid w:val="00C72093"/>
    <w:rsid w:val="00C72EF4"/>
    <w:rsid w:val="00C744FE"/>
    <w:rsid w:val="00C745FB"/>
    <w:rsid w:val="00C75D2F"/>
    <w:rsid w:val="00C75F95"/>
    <w:rsid w:val="00C767BE"/>
    <w:rsid w:val="00C76E3C"/>
    <w:rsid w:val="00C81568"/>
    <w:rsid w:val="00C836D8"/>
    <w:rsid w:val="00C87F4B"/>
    <w:rsid w:val="00C9027A"/>
    <w:rsid w:val="00C9068E"/>
    <w:rsid w:val="00C93814"/>
    <w:rsid w:val="00C93C4B"/>
    <w:rsid w:val="00C9449D"/>
    <w:rsid w:val="00C944AB"/>
    <w:rsid w:val="00C95B40"/>
    <w:rsid w:val="00CA0E56"/>
    <w:rsid w:val="00CA0FA8"/>
    <w:rsid w:val="00CA1ED8"/>
    <w:rsid w:val="00CB1F63"/>
    <w:rsid w:val="00CB3AFC"/>
    <w:rsid w:val="00CB5B0F"/>
    <w:rsid w:val="00CB5B63"/>
    <w:rsid w:val="00CB7170"/>
    <w:rsid w:val="00CC040E"/>
    <w:rsid w:val="00CC111F"/>
    <w:rsid w:val="00CC2011"/>
    <w:rsid w:val="00CC29A6"/>
    <w:rsid w:val="00CC3EA0"/>
    <w:rsid w:val="00CC7B45"/>
    <w:rsid w:val="00CD0448"/>
    <w:rsid w:val="00CD1188"/>
    <w:rsid w:val="00CD292B"/>
    <w:rsid w:val="00CD2ED1"/>
    <w:rsid w:val="00CD337B"/>
    <w:rsid w:val="00CD48FA"/>
    <w:rsid w:val="00CE0424"/>
    <w:rsid w:val="00CE0A86"/>
    <w:rsid w:val="00CE0BF7"/>
    <w:rsid w:val="00CE158E"/>
    <w:rsid w:val="00CE3865"/>
    <w:rsid w:val="00CE6CB5"/>
    <w:rsid w:val="00CE7561"/>
    <w:rsid w:val="00CE7EE4"/>
    <w:rsid w:val="00CF1354"/>
    <w:rsid w:val="00CF20D9"/>
    <w:rsid w:val="00CF3B1F"/>
    <w:rsid w:val="00CF3BF6"/>
    <w:rsid w:val="00CF3F81"/>
    <w:rsid w:val="00CF625B"/>
    <w:rsid w:val="00CF687E"/>
    <w:rsid w:val="00D01D7F"/>
    <w:rsid w:val="00D0349B"/>
    <w:rsid w:val="00D10249"/>
    <w:rsid w:val="00D115C3"/>
    <w:rsid w:val="00D11897"/>
    <w:rsid w:val="00D13135"/>
    <w:rsid w:val="00D13D1F"/>
    <w:rsid w:val="00D13E4E"/>
    <w:rsid w:val="00D160E4"/>
    <w:rsid w:val="00D21882"/>
    <w:rsid w:val="00D23670"/>
    <w:rsid w:val="00D239A7"/>
    <w:rsid w:val="00D23F47"/>
    <w:rsid w:val="00D252F0"/>
    <w:rsid w:val="00D36E71"/>
    <w:rsid w:val="00D37D87"/>
    <w:rsid w:val="00D40B33"/>
    <w:rsid w:val="00D4318F"/>
    <w:rsid w:val="00D438BF"/>
    <w:rsid w:val="00D440F8"/>
    <w:rsid w:val="00D47F23"/>
    <w:rsid w:val="00D527FB"/>
    <w:rsid w:val="00D546FF"/>
    <w:rsid w:val="00D55AD5"/>
    <w:rsid w:val="00D576CA"/>
    <w:rsid w:val="00D60263"/>
    <w:rsid w:val="00D61AF5"/>
    <w:rsid w:val="00D62A3C"/>
    <w:rsid w:val="00D652B5"/>
    <w:rsid w:val="00D66155"/>
    <w:rsid w:val="00D67741"/>
    <w:rsid w:val="00D708B0"/>
    <w:rsid w:val="00D7121A"/>
    <w:rsid w:val="00D7281A"/>
    <w:rsid w:val="00D77B1D"/>
    <w:rsid w:val="00D8021F"/>
    <w:rsid w:val="00D80383"/>
    <w:rsid w:val="00D823C6"/>
    <w:rsid w:val="00D8327F"/>
    <w:rsid w:val="00D86CA3"/>
    <w:rsid w:val="00D871CE"/>
    <w:rsid w:val="00D9196D"/>
    <w:rsid w:val="00D92982"/>
    <w:rsid w:val="00D94251"/>
    <w:rsid w:val="00D97F68"/>
    <w:rsid w:val="00DA305E"/>
    <w:rsid w:val="00DA3DC9"/>
    <w:rsid w:val="00DA5417"/>
    <w:rsid w:val="00DA56E8"/>
    <w:rsid w:val="00DA76A8"/>
    <w:rsid w:val="00DA7C41"/>
    <w:rsid w:val="00DB0A9F"/>
    <w:rsid w:val="00DB3720"/>
    <w:rsid w:val="00DB377D"/>
    <w:rsid w:val="00DC2D36"/>
    <w:rsid w:val="00DC53EF"/>
    <w:rsid w:val="00DC5CA3"/>
    <w:rsid w:val="00DC7337"/>
    <w:rsid w:val="00DD1CC1"/>
    <w:rsid w:val="00DD3F2C"/>
    <w:rsid w:val="00DD597E"/>
    <w:rsid w:val="00DE15DD"/>
    <w:rsid w:val="00DE3657"/>
    <w:rsid w:val="00DE5608"/>
    <w:rsid w:val="00DE58D0"/>
    <w:rsid w:val="00DE654F"/>
    <w:rsid w:val="00DF01EA"/>
    <w:rsid w:val="00DF0B6E"/>
    <w:rsid w:val="00DF15E0"/>
    <w:rsid w:val="00DF37A0"/>
    <w:rsid w:val="00E033B5"/>
    <w:rsid w:val="00E035B9"/>
    <w:rsid w:val="00E110E7"/>
    <w:rsid w:val="00E11B20"/>
    <w:rsid w:val="00E11BCB"/>
    <w:rsid w:val="00E13DF6"/>
    <w:rsid w:val="00E14837"/>
    <w:rsid w:val="00E17FA2"/>
    <w:rsid w:val="00E22330"/>
    <w:rsid w:val="00E274E8"/>
    <w:rsid w:val="00E30B5A"/>
    <w:rsid w:val="00E30D47"/>
    <w:rsid w:val="00E3123D"/>
    <w:rsid w:val="00E31461"/>
    <w:rsid w:val="00E31D43"/>
    <w:rsid w:val="00E32608"/>
    <w:rsid w:val="00E33497"/>
    <w:rsid w:val="00E34188"/>
    <w:rsid w:val="00E34B6E"/>
    <w:rsid w:val="00E35559"/>
    <w:rsid w:val="00E3723A"/>
    <w:rsid w:val="00E37860"/>
    <w:rsid w:val="00E42302"/>
    <w:rsid w:val="00E446F1"/>
    <w:rsid w:val="00E44CF1"/>
    <w:rsid w:val="00E4534D"/>
    <w:rsid w:val="00E46886"/>
    <w:rsid w:val="00E4794A"/>
    <w:rsid w:val="00E47AEF"/>
    <w:rsid w:val="00E518C1"/>
    <w:rsid w:val="00E53B75"/>
    <w:rsid w:val="00E54E3B"/>
    <w:rsid w:val="00E5545B"/>
    <w:rsid w:val="00E560AA"/>
    <w:rsid w:val="00E567F4"/>
    <w:rsid w:val="00E57565"/>
    <w:rsid w:val="00E63682"/>
    <w:rsid w:val="00E63838"/>
    <w:rsid w:val="00E63BBA"/>
    <w:rsid w:val="00E64434"/>
    <w:rsid w:val="00E64E4C"/>
    <w:rsid w:val="00E67C51"/>
    <w:rsid w:val="00E72EFC"/>
    <w:rsid w:val="00E73555"/>
    <w:rsid w:val="00E758EC"/>
    <w:rsid w:val="00E779B4"/>
    <w:rsid w:val="00E821DE"/>
    <w:rsid w:val="00E8234C"/>
    <w:rsid w:val="00E83AA9"/>
    <w:rsid w:val="00E856CA"/>
    <w:rsid w:val="00E85928"/>
    <w:rsid w:val="00E87822"/>
    <w:rsid w:val="00E90395"/>
    <w:rsid w:val="00E90E49"/>
    <w:rsid w:val="00E917F9"/>
    <w:rsid w:val="00E9291C"/>
    <w:rsid w:val="00E93FFE"/>
    <w:rsid w:val="00E94F8A"/>
    <w:rsid w:val="00E959ED"/>
    <w:rsid w:val="00EA5549"/>
    <w:rsid w:val="00EA7A41"/>
    <w:rsid w:val="00EB077B"/>
    <w:rsid w:val="00EB304B"/>
    <w:rsid w:val="00EB4EA2"/>
    <w:rsid w:val="00EC24D5"/>
    <w:rsid w:val="00EC27C6"/>
    <w:rsid w:val="00EC4207"/>
    <w:rsid w:val="00EC4A7E"/>
    <w:rsid w:val="00EC5653"/>
    <w:rsid w:val="00EC71CE"/>
    <w:rsid w:val="00EC7279"/>
    <w:rsid w:val="00ED1006"/>
    <w:rsid w:val="00ED77EB"/>
    <w:rsid w:val="00ED7F88"/>
    <w:rsid w:val="00EE1DA8"/>
    <w:rsid w:val="00EF18FE"/>
    <w:rsid w:val="00EF3DB6"/>
    <w:rsid w:val="00EF5787"/>
    <w:rsid w:val="00EF60D0"/>
    <w:rsid w:val="00F00F62"/>
    <w:rsid w:val="00F01DB3"/>
    <w:rsid w:val="00F03DAF"/>
    <w:rsid w:val="00F05216"/>
    <w:rsid w:val="00F0528D"/>
    <w:rsid w:val="00F06C67"/>
    <w:rsid w:val="00F06DFD"/>
    <w:rsid w:val="00F071D1"/>
    <w:rsid w:val="00F07533"/>
    <w:rsid w:val="00F10629"/>
    <w:rsid w:val="00F13025"/>
    <w:rsid w:val="00F14111"/>
    <w:rsid w:val="00F1518F"/>
    <w:rsid w:val="00F15FA5"/>
    <w:rsid w:val="00F17FCE"/>
    <w:rsid w:val="00F209B7"/>
    <w:rsid w:val="00F22355"/>
    <w:rsid w:val="00F2376F"/>
    <w:rsid w:val="00F23EB8"/>
    <w:rsid w:val="00F243D8"/>
    <w:rsid w:val="00F27054"/>
    <w:rsid w:val="00F30828"/>
    <w:rsid w:val="00F313D6"/>
    <w:rsid w:val="00F34EB0"/>
    <w:rsid w:val="00F353D3"/>
    <w:rsid w:val="00F37F33"/>
    <w:rsid w:val="00F40F0C"/>
    <w:rsid w:val="00F429AF"/>
    <w:rsid w:val="00F466E9"/>
    <w:rsid w:val="00F4766C"/>
    <w:rsid w:val="00F47C34"/>
    <w:rsid w:val="00F5060E"/>
    <w:rsid w:val="00F507D1"/>
    <w:rsid w:val="00F509AD"/>
    <w:rsid w:val="00F519CE"/>
    <w:rsid w:val="00F51ADA"/>
    <w:rsid w:val="00F53681"/>
    <w:rsid w:val="00F55905"/>
    <w:rsid w:val="00F57B26"/>
    <w:rsid w:val="00F60203"/>
    <w:rsid w:val="00F607C5"/>
    <w:rsid w:val="00F60DEA"/>
    <w:rsid w:val="00F6258B"/>
    <w:rsid w:val="00F6302A"/>
    <w:rsid w:val="00F63950"/>
    <w:rsid w:val="00F64C2B"/>
    <w:rsid w:val="00F651BE"/>
    <w:rsid w:val="00F671D3"/>
    <w:rsid w:val="00F67F53"/>
    <w:rsid w:val="00F703BE"/>
    <w:rsid w:val="00F71C94"/>
    <w:rsid w:val="00F71F69"/>
    <w:rsid w:val="00F72B72"/>
    <w:rsid w:val="00F74BB9"/>
    <w:rsid w:val="00F74BEF"/>
    <w:rsid w:val="00F75582"/>
    <w:rsid w:val="00F76EFA"/>
    <w:rsid w:val="00F804BE"/>
    <w:rsid w:val="00F817CE"/>
    <w:rsid w:val="00F837D2"/>
    <w:rsid w:val="00F8456C"/>
    <w:rsid w:val="00F859D8"/>
    <w:rsid w:val="00F868F5"/>
    <w:rsid w:val="00F9056A"/>
    <w:rsid w:val="00F90F8D"/>
    <w:rsid w:val="00F92782"/>
    <w:rsid w:val="00F93AA9"/>
    <w:rsid w:val="00F96985"/>
    <w:rsid w:val="00F97838"/>
    <w:rsid w:val="00FA0297"/>
    <w:rsid w:val="00FA2BB3"/>
    <w:rsid w:val="00FA65B5"/>
    <w:rsid w:val="00FB1C5E"/>
    <w:rsid w:val="00FB4C80"/>
    <w:rsid w:val="00FB653D"/>
    <w:rsid w:val="00FB6A6A"/>
    <w:rsid w:val="00FB72EC"/>
    <w:rsid w:val="00FB7577"/>
    <w:rsid w:val="00FC02B7"/>
    <w:rsid w:val="00FC3592"/>
    <w:rsid w:val="00FC4045"/>
    <w:rsid w:val="00FC7429"/>
    <w:rsid w:val="00FD07F6"/>
    <w:rsid w:val="00FD155E"/>
    <w:rsid w:val="00FD1EC8"/>
    <w:rsid w:val="00FD208E"/>
    <w:rsid w:val="00FD47ED"/>
    <w:rsid w:val="00FD74DB"/>
    <w:rsid w:val="00FD7660"/>
    <w:rsid w:val="00FE025E"/>
    <w:rsid w:val="00FE0655"/>
    <w:rsid w:val="00FE0708"/>
    <w:rsid w:val="00FE2365"/>
    <w:rsid w:val="00FE37D7"/>
    <w:rsid w:val="00FE4831"/>
    <w:rsid w:val="00FE4C7B"/>
    <w:rsid w:val="00FE7336"/>
    <w:rsid w:val="00FE787C"/>
    <w:rsid w:val="00FF0A9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5ADE"/>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1A5AD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A5ADE"/>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eastAsia="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AF30B2"/>
    <w:rPr>
      <w:color w:val="808080"/>
    </w:rPr>
  </w:style>
  <w:style w:type="paragraph" w:styleId="NormalWeb">
    <w:name w:val="Normal (Web)"/>
    <w:basedOn w:val="Normal"/>
    <w:uiPriority w:val="99"/>
    <w:unhideWhenUsed/>
    <w:rsid w:val="0083544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
    <w:name w:val="paragraph"/>
    <w:basedOn w:val="Normal"/>
    <w:rsid w:val="0043228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432287"/>
  </w:style>
  <w:style w:type="character" w:customStyle="1" w:styleId="eop">
    <w:name w:val="eop"/>
    <w:basedOn w:val="DefaultParagraphFont"/>
    <w:rsid w:val="00432287"/>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527356"/>
    <w:rPr>
      <w:rFonts w:asciiTheme="minorHAnsi" w:eastAsiaTheme="minorHAnsi" w:hAnsiTheme="minorHAnsi" w:cstheme="minorBidi"/>
      <w:b/>
      <w:sz w:val="22"/>
      <w:szCs w:val="22"/>
      <w:lang w:val="en-US"/>
    </w:rPr>
  </w:style>
  <w:style w:type="paragraph" w:styleId="Revision">
    <w:name w:val="Revision"/>
    <w:hidden/>
    <w:uiPriority w:val="99"/>
    <w:semiHidden/>
    <w:rsid w:val="00026506"/>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353579">
      <w:bodyDiv w:val="1"/>
      <w:marLeft w:val="0"/>
      <w:marRight w:val="0"/>
      <w:marTop w:val="0"/>
      <w:marBottom w:val="0"/>
      <w:divBdr>
        <w:top w:val="none" w:sz="0" w:space="0" w:color="auto"/>
        <w:left w:val="none" w:sz="0" w:space="0" w:color="auto"/>
        <w:bottom w:val="none" w:sz="0" w:space="0" w:color="auto"/>
        <w:right w:val="none" w:sz="0" w:space="0" w:color="auto"/>
      </w:divBdr>
    </w:div>
    <w:div w:id="504710409">
      <w:bodyDiv w:val="1"/>
      <w:marLeft w:val="0"/>
      <w:marRight w:val="0"/>
      <w:marTop w:val="0"/>
      <w:marBottom w:val="0"/>
      <w:divBdr>
        <w:top w:val="none" w:sz="0" w:space="0" w:color="auto"/>
        <w:left w:val="none" w:sz="0" w:space="0" w:color="auto"/>
        <w:bottom w:val="none" w:sz="0" w:space="0" w:color="auto"/>
        <w:right w:val="none" w:sz="0" w:space="0" w:color="auto"/>
      </w:divBdr>
      <w:divsChild>
        <w:div w:id="1382099035">
          <w:marLeft w:val="3154"/>
          <w:marRight w:val="0"/>
          <w:marTop w:val="0"/>
          <w:marBottom w:val="0"/>
          <w:divBdr>
            <w:top w:val="none" w:sz="0" w:space="0" w:color="auto"/>
            <w:left w:val="none" w:sz="0" w:space="0" w:color="auto"/>
            <w:bottom w:val="none" w:sz="0" w:space="0" w:color="auto"/>
            <w:right w:val="none" w:sz="0" w:space="0" w:color="auto"/>
          </w:divBdr>
        </w:div>
        <w:div w:id="1358460533">
          <w:marLeft w:val="3154"/>
          <w:marRight w:val="0"/>
          <w:marTop w:val="0"/>
          <w:marBottom w:val="0"/>
          <w:divBdr>
            <w:top w:val="none" w:sz="0" w:space="0" w:color="auto"/>
            <w:left w:val="none" w:sz="0" w:space="0" w:color="auto"/>
            <w:bottom w:val="none" w:sz="0" w:space="0" w:color="auto"/>
            <w:right w:val="none" w:sz="0" w:space="0" w:color="auto"/>
          </w:divBdr>
        </w:div>
      </w:divsChild>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 w:id="282461813">
          <w:marLeft w:val="1699"/>
          <w:marRight w:val="0"/>
          <w:marTop w:val="60"/>
          <w:marBottom w:val="0"/>
          <w:divBdr>
            <w:top w:val="none" w:sz="0" w:space="0" w:color="auto"/>
            <w:left w:val="none" w:sz="0" w:space="0" w:color="auto"/>
            <w:bottom w:val="none" w:sz="0" w:space="0" w:color="auto"/>
            <w:right w:val="none" w:sz="0" w:space="0" w:color="auto"/>
          </w:divBdr>
        </w:div>
      </w:divsChild>
    </w:div>
    <w:div w:id="932275912">
      <w:bodyDiv w:val="1"/>
      <w:marLeft w:val="0"/>
      <w:marRight w:val="0"/>
      <w:marTop w:val="0"/>
      <w:marBottom w:val="0"/>
      <w:divBdr>
        <w:top w:val="none" w:sz="0" w:space="0" w:color="auto"/>
        <w:left w:val="none" w:sz="0" w:space="0" w:color="auto"/>
        <w:bottom w:val="none" w:sz="0" w:space="0" w:color="auto"/>
        <w:right w:val="none" w:sz="0" w:space="0" w:color="auto"/>
      </w:divBdr>
      <w:divsChild>
        <w:div w:id="401802023">
          <w:marLeft w:val="3154"/>
          <w:marRight w:val="0"/>
          <w:marTop w:val="0"/>
          <w:marBottom w:val="0"/>
          <w:divBdr>
            <w:top w:val="none" w:sz="0" w:space="0" w:color="auto"/>
            <w:left w:val="none" w:sz="0" w:space="0" w:color="auto"/>
            <w:bottom w:val="none" w:sz="0" w:space="0" w:color="auto"/>
            <w:right w:val="none" w:sz="0" w:space="0" w:color="auto"/>
          </w:divBdr>
        </w:div>
        <w:div w:id="1150247347">
          <w:marLeft w:val="3154"/>
          <w:marRight w:val="0"/>
          <w:marTop w:val="0"/>
          <w:marBottom w:val="0"/>
          <w:divBdr>
            <w:top w:val="none" w:sz="0" w:space="0" w:color="auto"/>
            <w:left w:val="none" w:sz="0" w:space="0" w:color="auto"/>
            <w:bottom w:val="none" w:sz="0" w:space="0" w:color="auto"/>
            <w:right w:val="none" w:sz="0" w:space="0" w:color="auto"/>
          </w:divBdr>
        </w:div>
      </w:divsChild>
    </w:div>
    <w:div w:id="1230577753">
      <w:bodyDiv w:val="1"/>
      <w:marLeft w:val="0"/>
      <w:marRight w:val="0"/>
      <w:marTop w:val="0"/>
      <w:marBottom w:val="0"/>
      <w:divBdr>
        <w:top w:val="none" w:sz="0" w:space="0" w:color="auto"/>
        <w:left w:val="none" w:sz="0" w:space="0" w:color="auto"/>
        <w:bottom w:val="none" w:sz="0" w:space="0" w:color="auto"/>
        <w:right w:val="none" w:sz="0" w:space="0" w:color="auto"/>
      </w:divBdr>
      <w:divsChild>
        <w:div w:id="994802442">
          <w:marLeft w:val="0"/>
          <w:marRight w:val="0"/>
          <w:marTop w:val="30"/>
          <w:marBottom w:val="30"/>
          <w:divBdr>
            <w:top w:val="none" w:sz="0" w:space="0" w:color="auto"/>
            <w:left w:val="none" w:sz="0" w:space="0" w:color="auto"/>
            <w:bottom w:val="none" w:sz="0" w:space="0" w:color="auto"/>
            <w:right w:val="none" w:sz="0" w:space="0" w:color="auto"/>
          </w:divBdr>
          <w:divsChild>
            <w:div w:id="254677756">
              <w:marLeft w:val="0"/>
              <w:marRight w:val="0"/>
              <w:marTop w:val="0"/>
              <w:marBottom w:val="0"/>
              <w:divBdr>
                <w:top w:val="none" w:sz="0" w:space="0" w:color="auto"/>
                <w:left w:val="none" w:sz="0" w:space="0" w:color="auto"/>
                <w:bottom w:val="none" w:sz="0" w:space="0" w:color="auto"/>
                <w:right w:val="none" w:sz="0" w:space="0" w:color="auto"/>
              </w:divBdr>
              <w:divsChild>
                <w:div w:id="590239537">
                  <w:marLeft w:val="0"/>
                  <w:marRight w:val="0"/>
                  <w:marTop w:val="0"/>
                  <w:marBottom w:val="0"/>
                  <w:divBdr>
                    <w:top w:val="none" w:sz="0" w:space="0" w:color="auto"/>
                    <w:left w:val="none" w:sz="0" w:space="0" w:color="auto"/>
                    <w:bottom w:val="none" w:sz="0" w:space="0" w:color="auto"/>
                    <w:right w:val="none" w:sz="0" w:space="0" w:color="auto"/>
                  </w:divBdr>
                </w:div>
              </w:divsChild>
            </w:div>
            <w:div w:id="1579707747">
              <w:marLeft w:val="0"/>
              <w:marRight w:val="0"/>
              <w:marTop w:val="0"/>
              <w:marBottom w:val="0"/>
              <w:divBdr>
                <w:top w:val="none" w:sz="0" w:space="0" w:color="auto"/>
                <w:left w:val="none" w:sz="0" w:space="0" w:color="auto"/>
                <w:bottom w:val="none" w:sz="0" w:space="0" w:color="auto"/>
                <w:right w:val="none" w:sz="0" w:space="0" w:color="auto"/>
              </w:divBdr>
              <w:divsChild>
                <w:div w:id="1400710856">
                  <w:marLeft w:val="0"/>
                  <w:marRight w:val="0"/>
                  <w:marTop w:val="0"/>
                  <w:marBottom w:val="0"/>
                  <w:divBdr>
                    <w:top w:val="none" w:sz="0" w:space="0" w:color="auto"/>
                    <w:left w:val="none" w:sz="0" w:space="0" w:color="auto"/>
                    <w:bottom w:val="none" w:sz="0" w:space="0" w:color="auto"/>
                    <w:right w:val="none" w:sz="0" w:space="0" w:color="auto"/>
                  </w:divBdr>
                </w:div>
              </w:divsChild>
            </w:div>
            <w:div w:id="231815173">
              <w:marLeft w:val="0"/>
              <w:marRight w:val="0"/>
              <w:marTop w:val="0"/>
              <w:marBottom w:val="0"/>
              <w:divBdr>
                <w:top w:val="none" w:sz="0" w:space="0" w:color="auto"/>
                <w:left w:val="none" w:sz="0" w:space="0" w:color="auto"/>
                <w:bottom w:val="none" w:sz="0" w:space="0" w:color="auto"/>
                <w:right w:val="none" w:sz="0" w:space="0" w:color="auto"/>
              </w:divBdr>
              <w:divsChild>
                <w:div w:id="236785569">
                  <w:marLeft w:val="0"/>
                  <w:marRight w:val="0"/>
                  <w:marTop w:val="0"/>
                  <w:marBottom w:val="0"/>
                  <w:divBdr>
                    <w:top w:val="none" w:sz="0" w:space="0" w:color="auto"/>
                    <w:left w:val="none" w:sz="0" w:space="0" w:color="auto"/>
                    <w:bottom w:val="none" w:sz="0" w:space="0" w:color="auto"/>
                    <w:right w:val="none" w:sz="0" w:space="0" w:color="auto"/>
                  </w:divBdr>
                </w:div>
              </w:divsChild>
            </w:div>
            <w:div w:id="827789230">
              <w:marLeft w:val="0"/>
              <w:marRight w:val="0"/>
              <w:marTop w:val="0"/>
              <w:marBottom w:val="0"/>
              <w:divBdr>
                <w:top w:val="none" w:sz="0" w:space="0" w:color="auto"/>
                <w:left w:val="none" w:sz="0" w:space="0" w:color="auto"/>
                <w:bottom w:val="none" w:sz="0" w:space="0" w:color="auto"/>
                <w:right w:val="none" w:sz="0" w:space="0" w:color="auto"/>
              </w:divBdr>
              <w:divsChild>
                <w:div w:id="588781774">
                  <w:marLeft w:val="0"/>
                  <w:marRight w:val="0"/>
                  <w:marTop w:val="0"/>
                  <w:marBottom w:val="0"/>
                  <w:divBdr>
                    <w:top w:val="none" w:sz="0" w:space="0" w:color="auto"/>
                    <w:left w:val="none" w:sz="0" w:space="0" w:color="auto"/>
                    <w:bottom w:val="none" w:sz="0" w:space="0" w:color="auto"/>
                    <w:right w:val="none" w:sz="0" w:space="0" w:color="auto"/>
                  </w:divBdr>
                </w:div>
              </w:divsChild>
            </w:div>
            <w:div w:id="872184937">
              <w:marLeft w:val="0"/>
              <w:marRight w:val="0"/>
              <w:marTop w:val="0"/>
              <w:marBottom w:val="0"/>
              <w:divBdr>
                <w:top w:val="none" w:sz="0" w:space="0" w:color="auto"/>
                <w:left w:val="none" w:sz="0" w:space="0" w:color="auto"/>
                <w:bottom w:val="none" w:sz="0" w:space="0" w:color="auto"/>
                <w:right w:val="none" w:sz="0" w:space="0" w:color="auto"/>
              </w:divBdr>
              <w:divsChild>
                <w:div w:id="253318154">
                  <w:marLeft w:val="0"/>
                  <w:marRight w:val="0"/>
                  <w:marTop w:val="0"/>
                  <w:marBottom w:val="0"/>
                  <w:divBdr>
                    <w:top w:val="none" w:sz="0" w:space="0" w:color="auto"/>
                    <w:left w:val="none" w:sz="0" w:space="0" w:color="auto"/>
                    <w:bottom w:val="none" w:sz="0" w:space="0" w:color="auto"/>
                    <w:right w:val="none" w:sz="0" w:space="0" w:color="auto"/>
                  </w:divBdr>
                </w:div>
              </w:divsChild>
            </w:div>
            <w:div w:id="2120686074">
              <w:marLeft w:val="0"/>
              <w:marRight w:val="0"/>
              <w:marTop w:val="0"/>
              <w:marBottom w:val="0"/>
              <w:divBdr>
                <w:top w:val="none" w:sz="0" w:space="0" w:color="auto"/>
                <w:left w:val="none" w:sz="0" w:space="0" w:color="auto"/>
                <w:bottom w:val="none" w:sz="0" w:space="0" w:color="auto"/>
                <w:right w:val="none" w:sz="0" w:space="0" w:color="auto"/>
              </w:divBdr>
              <w:divsChild>
                <w:div w:id="69546054">
                  <w:marLeft w:val="0"/>
                  <w:marRight w:val="0"/>
                  <w:marTop w:val="0"/>
                  <w:marBottom w:val="0"/>
                  <w:divBdr>
                    <w:top w:val="none" w:sz="0" w:space="0" w:color="auto"/>
                    <w:left w:val="none" w:sz="0" w:space="0" w:color="auto"/>
                    <w:bottom w:val="none" w:sz="0" w:space="0" w:color="auto"/>
                    <w:right w:val="none" w:sz="0" w:space="0" w:color="auto"/>
                  </w:divBdr>
                </w:div>
              </w:divsChild>
            </w:div>
            <w:div w:id="504589949">
              <w:marLeft w:val="0"/>
              <w:marRight w:val="0"/>
              <w:marTop w:val="0"/>
              <w:marBottom w:val="0"/>
              <w:divBdr>
                <w:top w:val="none" w:sz="0" w:space="0" w:color="auto"/>
                <w:left w:val="none" w:sz="0" w:space="0" w:color="auto"/>
                <w:bottom w:val="none" w:sz="0" w:space="0" w:color="auto"/>
                <w:right w:val="none" w:sz="0" w:space="0" w:color="auto"/>
              </w:divBdr>
              <w:divsChild>
                <w:div w:id="651252082">
                  <w:marLeft w:val="0"/>
                  <w:marRight w:val="0"/>
                  <w:marTop w:val="0"/>
                  <w:marBottom w:val="0"/>
                  <w:divBdr>
                    <w:top w:val="none" w:sz="0" w:space="0" w:color="auto"/>
                    <w:left w:val="none" w:sz="0" w:space="0" w:color="auto"/>
                    <w:bottom w:val="none" w:sz="0" w:space="0" w:color="auto"/>
                    <w:right w:val="none" w:sz="0" w:space="0" w:color="auto"/>
                  </w:divBdr>
                </w:div>
              </w:divsChild>
            </w:div>
            <w:div w:id="1637831436">
              <w:marLeft w:val="0"/>
              <w:marRight w:val="0"/>
              <w:marTop w:val="0"/>
              <w:marBottom w:val="0"/>
              <w:divBdr>
                <w:top w:val="none" w:sz="0" w:space="0" w:color="auto"/>
                <w:left w:val="none" w:sz="0" w:space="0" w:color="auto"/>
                <w:bottom w:val="none" w:sz="0" w:space="0" w:color="auto"/>
                <w:right w:val="none" w:sz="0" w:space="0" w:color="auto"/>
              </w:divBdr>
              <w:divsChild>
                <w:div w:id="1561862279">
                  <w:marLeft w:val="0"/>
                  <w:marRight w:val="0"/>
                  <w:marTop w:val="0"/>
                  <w:marBottom w:val="0"/>
                  <w:divBdr>
                    <w:top w:val="none" w:sz="0" w:space="0" w:color="auto"/>
                    <w:left w:val="none" w:sz="0" w:space="0" w:color="auto"/>
                    <w:bottom w:val="none" w:sz="0" w:space="0" w:color="auto"/>
                    <w:right w:val="none" w:sz="0" w:space="0" w:color="auto"/>
                  </w:divBdr>
                </w:div>
              </w:divsChild>
            </w:div>
            <w:div w:id="525599920">
              <w:marLeft w:val="0"/>
              <w:marRight w:val="0"/>
              <w:marTop w:val="0"/>
              <w:marBottom w:val="0"/>
              <w:divBdr>
                <w:top w:val="none" w:sz="0" w:space="0" w:color="auto"/>
                <w:left w:val="none" w:sz="0" w:space="0" w:color="auto"/>
                <w:bottom w:val="none" w:sz="0" w:space="0" w:color="auto"/>
                <w:right w:val="none" w:sz="0" w:space="0" w:color="auto"/>
              </w:divBdr>
              <w:divsChild>
                <w:div w:id="25640558">
                  <w:marLeft w:val="0"/>
                  <w:marRight w:val="0"/>
                  <w:marTop w:val="0"/>
                  <w:marBottom w:val="0"/>
                  <w:divBdr>
                    <w:top w:val="none" w:sz="0" w:space="0" w:color="auto"/>
                    <w:left w:val="none" w:sz="0" w:space="0" w:color="auto"/>
                    <w:bottom w:val="none" w:sz="0" w:space="0" w:color="auto"/>
                    <w:right w:val="none" w:sz="0" w:space="0" w:color="auto"/>
                  </w:divBdr>
                </w:div>
              </w:divsChild>
            </w:div>
            <w:div w:id="1743603584">
              <w:marLeft w:val="0"/>
              <w:marRight w:val="0"/>
              <w:marTop w:val="0"/>
              <w:marBottom w:val="0"/>
              <w:divBdr>
                <w:top w:val="none" w:sz="0" w:space="0" w:color="auto"/>
                <w:left w:val="none" w:sz="0" w:space="0" w:color="auto"/>
                <w:bottom w:val="none" w:sz="0" w:space="0" w:color="auto"/>
                <w:right w:val="none" w:sz="0" w:space="0" w:color="auto"/>
              </w:divBdr>
              <w:divsChild>
                <w:div w:id="1728259531">
                  <w:marLeft w:val="0"/>
                  <w:marRight w:val="0"/>
                  <w:marTop w:val="0"/>
                  <w:marBottom w:val="0"/>
                  <w:divBdr>
                    <w:top w:val="none" w:sz="0" w:space="0" w:color="auto"/>
                    <w:left w:val="none" w:sz="0" w:space="0" w:color="auto"/>
                    <w:bottom w:val="none" w:sz="0" w:space="0" w:color="auto"/>
                    <w:right w:val="none" w:sz="0" w:space="0" w:color="auto"/>
                  </w:divBdr>
                </w:div>
              </w:divsChild>
            </w:div>
            <w:div w:id="1565486463">
              <w:marLeft w:val="0"/>
              <w:marRight w:val="0"/>
              <w:marTop w:val="0"/>
              <w:marBottom w:val="0"/>
              <w:divBdr>
                <w:top w:val="none" w:sz="0" w:space="0" w:color="auto"/>
                <w:left w:val="none" w:sz="0" w:space="0" w:color="auto"/>
                <w:bottom w:val="none" w:sz="0" w:space="0" w:color="auto"/>
                <w:right w:val="none" w:sz="0" w:space="0" w:color="auto"/>
              </w:divBdr>
              <w:divsChild>
                <w:div w:id="229998547">
                  <w:marLeft w:val="0"/>
                  <w:marRight w:val="0"/>
                  <w:marTop w:val="0"/>
                  <w:marBottom w:val="0"/>
                  <w:divBdr>
                    <w:top w:val="none" w:sz="0" w:space="0" w:color="auto"/>
                    <w:left w:val="none" w:sz="0" w:space="0" w:color="auto"/>
                    <w:bottom w:val="none" w:sz="0" w:space="0" w:color="auto"/>
                    <w:right w:val="none" w:sz="0" w:space="0" w:color="auto"/>
                  </w:divBdr>
                </w:div>
              </w:divsChild>
            </w:div>
            <w:div w:id="1150513373">
              <w:marLeft w:val="0"/>
              <w:marRight w:val="0"/>
              <w:marTop w:val="0"/>
              <w:marBottom w:val="0"/>
              <w:divBdr>
                <w:top w:val="none" w:sz="0" w:space="0" w:color="auto"/>
                <w:left w:val="none" w:sz="0" w:space="0" w:color="auto"/>
                <w:bottom w:val="none" w:sz="0" w:space="0" w:color="auto"/>
                <w:right w:val="none" w:sz="0" w:space="0" w:color="auto"/>
              </w:divBdr>
              <w:divsChild>
                <w:div w:id="1364138131">
                  <w:marLeft w:val="0"/>
                  <w:marRight w:val="0"/>
                  <w:marTop w:val="0"/>
                  <w:marBottom w:val="0"/>
                  <w:divBdr>
                    <w:top w:val="none" w:sz="0" w:space="0" w:color="auto"/>
                    <w:left w:val="none" w:sz="0" w:space="0" w:color="auto"/>
                    <w:bottom w:val="none" w:sz="0" w:space="0" w:color="auto"/>
                    <w:right w:val="none" w:sz="0" w:space="0" w:color="auto"/>
                  </w:divBdr>
                </w:div>
              </w:divsChild>
            </w:div>
            <w:div w:id="1206258030">
              <w:marLeft w:val="0"/>
              <w:marRight w:val="0"/>
              <w:marTop w:val="0"/>
              <w:marBottom w:val="0"/>
              <w:divBdr>
                <w:top w:val="none" w:sz="0" w:space="0" w:color="auto"/>
                <w:left w:val="none" w:sz="0" w:space="0" w:color="auto"/>
                <w:bottom w:val="none" w:sz="0" w:space="0" w:color="auto"/>
                <w:right w:val="none" w:sz="0" w:space="0" w:color="auto"/>
              </w:divBdr>
              <w:divsChild>
                <w:div w:id="1992054638">
                  <w:marLeft w:val="0"/>
                  <w:marRight w:val="0"/>
                  <w:marTop w:val="0"/>
                  <w:marBottom w:val="0"/>
                  <w:divBdr>
                    <w:top w:val="none" w:sz="0" w:space="0" w:color="auto"/>
                    <w:left w:val="none" w:sz="0" w:space="0" w:color="auto"/>
                    <w:bottom w:val="none" w:sz="0" w:space="0" w:color="auto"/>
                    <w:right w:val="none" w:sz="0" w:space="0" w:color="auto"/>
                  </w:divBdr>
                </w:div>
              </w:divsChild>
            </w:div>
            <w:div w:id="1173377170">
              <w:marLeft w:val="0"/>
              <w:marRight w:val="0"/>
              <w:marTop w:val="0"/>
              <w:marBottom w:val="0"/>
              <w:divBdr>
                <w:top w:val="none" w:sz="0" w:space="0" w:color="auto"/>
                <w:left w:val="none" w:sz="0" w:space="0" w:color="auto"/>
                <w:bottom w:val="none" w:sz="0" w:space="0" w:color="auto"/>
                <w:right w:val="none" w:sz="0" w:space="0" w:color="auto"/>
              </w:divBdr>
              <w:divsChild>
                <w:div w:id="1472482895">
                  <w:marLeft w:val="0"/>
                  <w:marRight w:val="0"/>
                  <w:marTop w:val="0"/>
                  <w:marBottom w:val="0"/>
                  <w:divBdr>
                    <w:top w:val="none" w:sz="0" w:space="0" w:color="auto"/>
                    <w:left w:val="none" w:sz="0" w:space="0" w:color="auto"/>
                    <w:bottom w:val="none" w:sz="0" w:space="0" w:color="auto"/>
                    <w:right w:val="none" w:sz="0" w:space="0" w:color="auto"/>
                  </w:divBdr>
                </w:div>
              </w:divsChild>
            </w:div>
            <w:div w:id="732896973">
              <w:marLeft w:val="0"/>
              <w:marRight w:val="0"/>
              <w:marTop w:val="0"/>
              <w:marBottom w:val="0"/>
              <w:divBdr>
                <w:top w:val="none" w:sz="0" w:space="0" w:color="auto"/>
                <w:left w:val="none" w:sz="0" w:space="0" w:color="auto"/>
                <w:bottom w:val="none" w:sz="0" w:space="0" w:color="auto"/>
                <w:right w:val="none" w:sz="0" w:space="0" w:color="auto"/>
              </w:divBdr>
              <w:divsChild>
                <w:div w:id="161091036">
                  <w:marLeft w:val="0"/>
                  <w:marRight w:val="0"/>
                  <w:marTop w:val="0"/>
                  <w:marBottom w:val="0"/>
                  <w:divBdr>
                    <w:top w:val="none" w:sz="0" w:space="0" w:color="auto"/>
                    <w:left w:val="none" w:sz="0" w:space="0" w:color="auto"/>
                    <w:bottom w:val="none" w:sz="0" w:space="0" w:color="auto"/>
                    <w:right w:val="none" w:sz="0" w:space="0" w:color="auto"/>
                  </w:divBdr>
                </w:div>
              </w:divsChild>
            </w:div>
            <w:div w:id="389815612">
              <w:marLeft w:val="0"/>
              <w:marRight w:val="0"/>
              <w:marTop w:val="0"/>
              <w:marBottom w:val="0"/>
              <w:divBdr>
                <w:top w:val="none" w:sz="0" w:space="0" w:color="auto"/>
                <w:left w:val="none" w:sz="0" w:space="0" w:color="auto"/>
                <w:bottom w:val="none" w:sz="0" w:space="0" w:color="auto"/>
                <w:right w:val="none" w:sz="0" w:space="0" w:color="auto"/>
              </w:divBdr>
              <w:divsChild>
                <w:div w:id="802625024">
                  <w:marLeft w:val="0"/>
                  <w:marRight w:val="0"/>
                  <w:marTop w:val="0"/>
                  <w:marBottom w:val="0"/>
                  <w:divBdr>
                    <w:top w:val="none" w:sz="0" w:space="0" w:color="auto"/>
                    <w:left w:val="none" w:sz="0" w:space="0" w:color="auto"/>
                    <w:bottom w:val="none" w:sz="0" w:space="0" w:color="auto"/>
                    <w:right w:val="none" w:sz="0" w:space="0" w:color="auto"/>
                  </w:divBdr>
                </w:div>
              </w:divsChild>
            </w:div>
            <w:div w:id="1999261165">
              <w:marLeft w:val="0"/>
              <w:marRight w:val="0"/>
              <w:marTop w:val="0"/>
              <w:marBottom w:val="0"/>
              <w:divBdr>
                <w:top w:val="none" w:sz="0" w:space="0" w:color="auto"/>
                <w:left w:val="none" w:sz="0" w:space="0" w:color="auto"/>
                <w:bottom w:val="none" w:sz="0" w:space="0" w:color="auto"/>
                <w:right w:val="none" w:sz="0" w:space="0" w:color="auto"/>
              </w:divBdr>
              <w:divsChild>
                <w:div w:id="464011552">
                  <w:marLeft w:val="0"/>
                  <w:marRight w:val="0"/>
                  <w:marTop w:val="0"/>
                  <w:marBottom w:val="0"/>
                  <w:divBdr>
                    <w:top w:val="none" w:sz="0" w:space="0" w:color="auto"/>
                    <w:left w:val="none" w:sz="0" w:space="0" w:color="auto"/>
                    <w:bottom w:val="none" w:sz="0" w:space="0" w:color="auto"/>
                    <w:right w:val="none" w:sz="0" w:space="0" w:color="auto"/>
                  </w:divBdr>
                </w:div>
              </w:divsChild>
            </w:div>
            <w:div w:id="1977566020">
              <w:marLeft w:val="0"/>
              <w:marRight w:val="0"/>
              <w:marTop w:val="0"/>
              <w:marBottom w:val="0"/>
              <w:divBdr>
                <w:top w:val="none" w:sz="0" w:space="0" w:color="auto"/>
                <w:left w:val="none" w:sz="0" w:space="0" w:color="auto"/>
                <w:bottom w:val="none" w:sz="0" w:space="0" w:color="auto"/>
                <w:right w:val="none" w:sz="0" w:space="0" w:color="auto"/>
              </w:divBdr>
              <w:divsChild>
                <w:div w:id="384841118">
                  <w:marLeft w:val="0"/>
                  <w:marRight w:val="0"/>
                  <w:marTop w:val="0"/>
                  <w:marBottom w:val="0"/>
                  <w:divBdr>
                    <w:top w:val="none" w:sz="0" w:space="0" w:color="auto"/>
                    <w:left w:val="none" w:sz="0" w:space="0" w:color="auto"/>
                    <w:bottom w:val="none" w:sz="0" w:space="0" w:color="auto"/>
                    <w:right w:val="none" w:sz="0" w:space="0" w:color="auto"/>
                  </w:divBdr>
                </w:div>
              </w:divsChild>
            </w:div>
            <w:div w:id="554774216">
              <w:marLeft w:val="0"/>
              <w:marRight w:val="0"/>
              <w:marTop w:val="0"/>
              <w:marBottom w:val="0"/>
              <w:divBdr>
                <w:top w:val="none" w:sz="0" w:space="0" w:color="auto"/>
                <w:left w:val="none" w:sz="0" w:space="0" w:color="auto"/>
                <w:bottom w:val="none" w:sz="0" w:space="0" w:color="auto"/>
                <w:right w:val="none" w:sz="0" w:space="0" w:color="auto"/>
              </w:divBdr>
              <w:divsChild>
                <w:div w:id="481893339">
                  <w:marLeft w:val="0"/>
                  <w:marRight w:val="0"/>
                  <w:marTop w:val="0"/>
                  <w:marBottom w:val="0"/>
                  <w:divBdr>
                    <w:top w:val="none" w:sz="0" w:space="0" w:color="auto"/>
                    <w:left w:val="none" w:sz="0" w:space="0" w:color="auto"/>
                    <w:bottom w:val="none" w:sz="0" w:space="0" w:color="auto"/>
                    <w:right w:val="none" w:sz="0" w:space="0" w:color="auto"/>
                  </w:divBdr>
                </w:div>
              </w:divsChild>
            </w:div>
            <w:div w:id="1345742946">
              <w:marLeft w:val="0"/>
              <w:marRight w:val="0"/>
              <w:marTop w:val="0"/>
              <w:marBottom w:val="0"/>
              <w:divBdr>
                <w:top w:val="none" w:sz="0" w:space="0" w:color="auto"/>
                <w:left w:val="none" w:sz="0" w:space="0" w:color="auto"/>
                <w:bottom w:val="none" w:sz="0" w:space="0" w:color="auto"/>
                <w:right w:val="none" w:sz="0" w:space="0" w:color="auto"/>
              </w:divBdr>
              <w:divsChild>
                <w:div w:id="1253396174">
                  <w:marLeft w:val="0"/>
                  <w:marRight w:val="0"/>
                  <w:marTop w:val="0"/>
                  <w:marBottom w:val="0"/>
                  <w:divBdr>
                    <w:top w:val="none" w:sz="0" w:space="0" w:color="auto"/>
                    <w:left w:val="none" w:sz="0" w:space="0" w:color="auto"/>
                    <w:bottom w:val="none" w:sz="0" w:space="0" w:color="auto"/>
                    <w:right w:val="none" w:sz="0" w:space="0" w:color="auto"/>
                  </w:divBdr>
                </w:div>
              </w:divsChild>
            </w:div>
            <w:div w:id="1726761012">
              <w:marLeft w:val="0"/>
              <w:marRight w:val="0"/>
              <w:marTop w:val="0"/>
              <w:marBottom w:val="0"/>
              <w:divBdr>
                <w:top w:val="none" w:sz="0" w:space="0" w:color="auto"/>
                <w:left w:val="none" w:sz="0" w:space="0" w:color="auto"/>
                <w:bottom w:val="none" w:sz="0" w:space="0" w:color="auto"/>
                <w:right w:val="none" w:sz="0" w:space="0" w:color="auto"/>
              </w:divBdr>
              <w:divsChild>
                <w:div w:id="254048591">
                  <w:marLeft w:val="0"/>
                  <w:marRight w:val="0"/>
                  <w:marTop w:val="0"/>
                  <w:marBottom w:val="0"/>
                  <w:divBdr>
                    <w:top w:val="none" w:sz="0" w:space="0" w:color="auto"/>
                    <w:left w:val="none" w:sz="0" w:space="0" w:color="auto"/>
                    <w:bottom w:val="none" w:sz="0" w:space="0" w:color="auto"/>
                    <w:right w:val="none" w:sz="0" w:space="0" w:color="auto"/>
                  </w:divBdr>
                </w:div>
              </w:divsChild>
            </w:div>
            <w:div w:id="1616794690">
              <w:marLeft w:val="0"/>
              <w:marRight w:val="0"/>
              <w:marTop w:val="0"/>
              <w:marBottom w:val="0"/>
              <w:divBdr>
                <w:top w:val="none" w:sz="0" w:space="0" w:color="auto"/>
                <w:left w:val="none" w:sz="0" w:space="0" w:color="auto"/>
                <w:bottom w:val="none" w:sz="0" w:space="0" w:color="auto"/>
                <w:right w:val="none" w:sz="0" w:space="0" w:color="auto"/>
              </w:divBdr>
              <w:divsChild>
                <w:div w:id="540288138">
                  <w:marLeft w:val="0"/>
                  <w:marRight w:val="0"/>
                  <w:marTop w:val="0"/>
                  <w:marBottom w:val="0"/>
                  <w:divBdr>
                    <w:top w:val="none" w:sz="0" w:space="0" w:color="auto"/>
                    <w:left w:val="none" w:sz="0" w:space="0" w:color="auto"/>
                    <w:bottom w:val="none" w:sz="0" w:space="0" w:color="auto"/>
                    <w:right w:val="none" w:sz="0" w:space="0" w:color="auto"/>
                  </w:divBdr>
                </w:div>
              </w:divsChild>
            </w:div>
            <w:div w:id="2138838442">
              <w:marLeft w:val="0"/>
              <w:marRight w:val="0"/>
              <w:marTop w:val="0"/>
              <w:marBottom w:val="0"/>
              <w:divBdr>
                <w:top w:val="none" w:sz="0" w:space="0" w:color="auto"/>
                <w:left w:val="none" w:sz="0" w:space="0" w:color="auto"/>
                <w:bottom w:val="none" w:sz="0" w:space="0" w:color="auto"/>
                <w:right w:val="none" w:sz="0" w:space="0" w:color="auto"/>
              </w:divBdr>
              <w:divsChild>
                <w:div w:id="394856578">
                  <w:marLeft w:val="0"/>
                  <w:marRight w:val="0"/>
                  <w:marTop w:val="0"/>
                  <w:marBottom w:val="0"/>
                  <w:divBdr>
                    <w:top w:val="none" w:sz="0" w:space="0" w:color="auto"/>
                    <w:left w:val="none" w:sz="0" w:space="0" w:color="auto"/>
                    <w:bottom w:val="none" w:sz="0" w:space="0" w:color="auto"/>
                    <w:right w:val="none" w:sz="0" w:space="0" w:color="auto"/>
                  </w:divBdr>
                </w:div>
              </w:divsChild>
            </w:div>
            <w:div w:id="1982726619">
              <w:marLeft w:val="0"/>
              <w:marRight w:val="0"/>
              <w:marTop w:val="0"/>
              <w:marBottom w:val="0"/>
              <w:divBdr>
                <w:top w:val="none" w:sz="0" w:space="0" w:color="auto"/>
                <w:left w:val="none" w:sz="0" w:space="0" w:color="auto"/>
                <w:bottom w:val="none" w:sz="0" w:space="0" w:color="auto"/>
                <w:right w:val="none" w:sz="0" w:space="0" w:color="auto"/>
              </w:divBdr>
              <w:divsChild>
                <w:div w:id="523330476">
                  <w:marLeft w:val="0"/>
                  <w:marRight w:val="0"/>
                  <w:marTop w:val="0"/>
                  <w:marBottom w:val="0"/>
                  <w:divBdr>
                    <w:top w:val="none" w:sz="0" w:space="0" w:color="auto"/>
                    <w:left w:val="none" w:sz="0" w:space="0" w:color="auto"/>
                    <w:bottom w:val="none" w:sz="0" w:space="0" w:color="auto"/>
                    <w:right w:val="none" w:sz="0" w:space="0" w:color="auto"/>
                  </w:divBdr>
                </w:div>
                <w:div w:id="1365791463">
                  <w:marLeft w:val="0"/>
                  <w:marRight w:val="0"/>
                  <w:marTop w:val="0"/>
                  <w:marBottom w:val="0"/>
                  <w:divBdr>
                    <w:top w:val="none" w:sz="0" w:space="0" w:color="auto"/>
                    <w:left w:val="none" w:sz="0" w:space="0" w:color="auto"/>
                    <w:bottom w:val="none" w:sz="0" w:space="0" w:color="auto"/>
                    <w:right w:val="none" w:sz="0" w:space="0" w:color="auto"/>
                  </w:divBdr>
                </w:div>
              </w:divsChild>
            </w:div>
            <w:div w:id="1084303652">
              <w:marLeft w:val="0"/>
              <w:marRight w:val="0"/>
              <w:marTop w:val="0"/>
              <w:marBottom w:val="0"/>
              <w:divBdr>
                <w:top w:val="none" w:sz="0" w:space="0" w:color="auto"/>
                <w:left w:val="none" w:sz="0" w:space="0" w:color="auto"/>
                <w:bottom w:val="none" w:sz="0" w:space="0" w:color="auto"/>
                <w:right w:val="none" w:sz="0" w:space="0" w:color="auto"/>
              </w:divBdr>
              <w:divsChild>
                <w:div w:id="686444875">
                  <w:marLeft w:val="0"/>
                  <w:marRight w:val="0"/>
                  <w:marTop w:val="0"/>
                  <w:marBottom w:val="0"/>
                  <w:divBdr>
                    <w:top w:val="none" w:sz="0" w:space="0" w:color="auto"/>
                    <w:left w:val="none" w:sz="0" w:space="0" w:color="auto"/>
                    <w:bottom w:val="none" w:sz="0" w:space="0" w:color="auto"/>
                    <w:right w:val="none" w:sz="0" w:space="0" w:color="auto"/>
                  </w:divBdr>
                </w:div>
              </w:divsChild>
            </w:div>
            <w:div w:id="354229666">
              <w:marLeft w:val="0"/>
              <w:marRight w:val="0"/>
              <w:marTop w:val="0"/>
              <w:marBottom w:val="0"/>
              <w:divBdr>
                <w:top w:val="none" w:sz="0" w:space="0" w:color="auto"/>
                <w:left w:val="none" w:sz="0" w:space="0" w:color="auto"/>
                <w:bottom w:val="none" w:sz="0" w:space="0" w:color="auto"/>
                <w:right w:val="none" w:sz="0" w:space="0" w:color="auto"/>
              </w:divBdr>
              <w:divsChild>
                <w:div w:id="1375302544">
                  <w:marLeft w:val="0"/>
                  <w:marRight w:val="0"/>
                  <w:marTop w:val="0"/>
                  <w:marBottom w:val="0"/>
                  <w:divBdr>
                    <w:top w:val="none" w:sz="0" w:space="0" w:color="auto"/>
                    <w:left w:val="none" w:sz="0" w:space="0" w:color="auto"/>
                    <w:bottom w:val="none" w:sz="0" w:space="0" w:color="auto"/>
                    <w:right w:val="none" w:sz="0" w:space="0" w:color="auto"/>
                  </w:divBdr>
                </w:div>
              </w:divsChild>
            </w:div>
            <w:div w:id="1206331044">
              <w:marLeft w:val="0"/>
              <w:marRight w:val="0"/>
              <w:marTop w:val="0"/>
              <w:marBottom w:val="0"/>
              <w:divBdr>
                <w:top w:val="none" w:sz="0" w:space="0" w:color="auto"/>
                <w:left w:val="none" w:sz="0" w:space="0" w:color="auto"/>
                <w:bottom w:val="none" w:sz="0" w:space="0" w:color="auto"/>
                <w:right w:val="none" w:sz="0" w:space="0" w:color="auto"/>
              </w:divBdr>
              <w:divsChild>
                <w:div w:id="1822886150">
                  <w:marLeft w:val="0"/>
                  <w:marRight w:val="0"/>
                  <w:marTop w:val="0"/>
                  <w:marBottom w:val="0"/>
                  <w:divBdr>
                    <w:top w:val="none" w:sz="0" w:space="0" w:color="auto"/>
                    <w:left w:val="none" w:sz="0" w:space="0" w:color="auto"/>
                    <w:bottom w:val="none" w:sz="0" w:space="0" w:color="auto"/>
                    <w:right w:val="none" w:sz="0" w:space="0" w:color="auto"/>
                  </w:divBdr>
                </w:div>
              </w:divsChild>
            </w:div>
            <w:div w:id="880676828">
              <w:marLeft w:val="0"/>
              <w:marRight w:val="0"/>
              <w:marTop w:val="0"/>
              <w:marBottom w:val="0"/>
              <w:divBdr>
                <w:top w:val="none" w:sz="0" w:space="0" w:color="auto"/>
                <w:left w:val="none" w:sz="0" w:space="0" w:color="auto"/>
                <w:bottom w:val="none" w:sz="0" w:space="0" w:color="auto"/>
                <w:right w:val="none" w:sz="0" w:space="0" w:color="auto"/>
              </w:divBdr>
              <w:divsChild>
                <w:div w:id="1818644824">
                  <w:marLeft w:val="0"/>
                  <w:marRight w:val="0"/>
                  <w:marTop w:val="0"/>
                  <w:marBottom w:val="0"/>
                  <w:divBdr>
                    <w:top w:val="none" w:sz="0" w:space="0" w:color="auto"/>
                    <w:left w:val="none" w:sz="0" w:space="0" w:color="auto"/>
                    <w:bottom w:val="none" w:sz="0" w:space="0" w:color="auto"/>
                    <w:right w:val="none" w:sz="0" w:space="0" w:color="auto"/>
                  </w:divBdr>
                </w:div>
              </w:divsChild>
            </w:div>
            <w:div w:id="1333416069">
              <w:marLeft w:val="0"/>
              <w:marRight w:val="0"/>
              <w:marTop w:val="0"/>
              <w:marBottom w:val="0"/>
              <w:divBdr>
                <w:top w:val="none" w:sz="0" w:space="0" w:color="auto"/>
                <w:left w:val="none" w:sz="0" w:space="0" w:color="auto"/>
                <w:bottom w:val="none" w:sz="0" w:space="0" w:color="auto"/>
                <w:right w:val="none" w:sz="0" w:space="0" w:color="auto"/>
              </w:divBdr>
              <w:divsChild>
                <w:div w:id="1971208629">
                  <w:marLeft w:val="0"/>
                  <w:marRight w:val="0"/>
                  <w:marTop w:val="0"/>
                  <w:marBottom w:val="0"/>
                  <w:divBdr>
                    <w:top w:val="none" w:sz="0" w:space="0" w:color="auto"/>
                    <w:left w:val="none" w:sz="0" w:space="0" w:color="auto"/>
                    <w:bottom w:val="none" w:sz="0" w:space="0" w:color="auto"/>
                    <w:right w:val="none" w:sz="0" w:space="0" w:color="auto"/>
                  </w:divBdr>
                </w:div>
              </w:divsChild>
            </w:div>
            <w:div w:id="1212577381">
              <w:marLeft w:val="0"/>
              <w:marRight w:val="0"/>
              <w:marTop w:val="0"/>
              <w:marBottom w:val="0"/>
              <w:divBdr>
                <w:top w:val="none" w:sz="0" w:space="0" w:color="auto"/>
                <w:left w:val="none" w:sz="0" w:space="0" w:color="auto"/>
                <w:bottom w:val="none" w:sz="0" w:space="0" w:color="auto"/>
                <w:right w:val="none" w:sz="0" w:space="0" w:color="auto"/>
              </w:divBdr>
              <w:divsChild>
                <w:div w:id="308942414">
                  <w:marLeft w:val="0"/>
                  <w:marRight w:val="0"/>
                  <w:marTop w:val="0"/>
                  <w:marBottom w:val="0"/>
                  <w:divBdr>
                    <w:top w:val="none" w:sz="0" w:space="0" w:color="auto"/>
                    <w:left w:val="none" w:sz="0" w:space="0" w:color="auto"/>
                    <w:bottom w:val="none" w:sz="0" w:space="0" w:color="auto"/>
                    <w:right w:val="none" w:sz="0" w:space="0" w:color="auto"/>
                  </w:divBdr>
                </w:div>
              </w:divsChild>
            </w:div>
            <w:div w:id="152256446">
              <w:marLeft w:val="0"/>
              <w:marRight w:val="0"/>
              <w:marTop w:val="0"/>
              <w:marBottom w:val="0"/>
              <w:divBdr>
                <w:top w:val="none" w:sz="0" w:space="0" w:color="auto"/>
                <w:left w:val="none" w:sz="0" w:space="0" w:color="auto"/>
                <w:bottom w:val="none" w:sz="0" w:space="0" w:color="auto"/>
                <w:right w:val="none" w:sz="0" w:space="0" w:color="auto"/>
              </w:divBdr>
              <w:divsChild>
                <w:div w:id="848905898">
                  <w:marLeft w:val="0"/>
                  <w:marRight w:val="0"/>
                  <w:marTop w:val="0"/>
                  <w:marBottom w:val="0"/>
                  <w:divBdr>
                    <w:top w:val="none" w:sz="0" w:space="0" w:color="auto"/>
                    <w:left w:val="none" w:sz="0" w:space="0" w:color="auto"/>
                    <w:bottom w:val="none" w:sz="0" w:space="0" w:color="auto"/>
                    <w:right w:val="none" w:sz="0" w:space="0" w:color="auto"/>
                  </w:divBdr>
                </w:div>
              </w:divsChild>
            </w:div>
            <w:div w:id="1820536255">
              <w:marLeft w:val="0"/>
              <w:marRight w:val="0"/>
              <w:marTop w:val="0"/>
              <w:marBottom w:val="0"/>
              <w:divBdr>
                <w:top w:val="none" w:sz="0" w:space="0" w:color="auto"/>
                <w:left w:val="none" w:sz="0" w:space="0" w:color="auto"/>
                <w:bottom w:val="none" w:sz="0" w:space="0" w:color="auto"/>
                <w:right w:val="none" w:sz="0" w:space="0" w:color="auto"/>
              </w:divBdr>
              <w:divsChild>
                <w:div w:id="2117358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164526">
      <w:bodyDiv w:val="1"/>
      <w:marLeft w:val="0"/>
      <w:marRight w:val="0"/>
      <w:marTop w:val="0"/>
      <w:marBottom w:val="0"/>
      <w:divBdr>
        <w:top w:val="none" w:sz="0" w:space="0" w:color="auto"/>
        <w:left w:val="none" w:sz="0" w:space="0" w:color="auto"/>
        <w:bottom w:val="none" w:sz="0" w:space="0" w:color="auto"/>
        <w:right w:val="none" w:sz="0" w:space="0" w:color="auto"/>
      </w:divBdr>
    </w:div>
    <w:div w:id="1641305837">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70979D-3FE2-4C56-AFED-A6B0D67EF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2677</Words>
  <Characters>15264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17906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2019-08-17T01:42:00Z</dcterms:created>
  <dcterms:modified xsi:type="dcterms:W3CDTF">2019-08-17T01:42:00Z</dcterms:modified>
  <cp:category/>
</cp:coreProperties>
</file>